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F76A" w14:textId="77777777" w:rsidR="001A27AE" w:rsidRPr="001A27AE" w:rsidRDefault="001A27AE" w:rsidP="001A27AE">
      <w:pPr>
        <w:tabs>
          <w:tab w:val="left" w:pos="1741"/>
          <w:tab w:val="center" w:pos="4680"/>
        </w:tabs>
        <w:spacing w:after="0" w:line="240" w:lineRule="auto"/>
        <w:jc w:val="center"/>
        <w:rPr>
          <w:rFonts w:ascii="Georgia" w:eastAsia="Times New Roman" w:hAnsi="Georgia" w:cs="Times New Roman"/>
          <w:b/>
          <w:bCs/>
          <w:kern w:val="0"/>
          <w:sz w:val="28"/>
          <w:szCs w:val="28"/>
          <w14:ligatures w14:val="none"/>
        </w:rPr>
      </w:pPr>
      <w:r w:rsidRPr="001A27AE">
        <w:rPr>
          <w:rFonts w:ascii="Georgia" w:eastAsia="Times New Roman" w:hAnsi="Georgia" w:cs="Times New Roman"/>
          <w:b/>
          <w:bCs/>
          <w:kern w:val="0"/>
          <w:sz w:val="28"/>
          <w:szCs w:val="28"/>
          <w14:ligatures w14:val="none"/>
        </w:rPr>
        <w:t>MODEL COMMENT TEMPLATE FOR</w:t>
      </w:r>
    </w:p>
    <w:p w14:paraId="20218476" w14:textId="77777777" w:rsidR="001A27AE" w:rsidRPr="001A27AE" w:rsidRDefault="001A27AE" w:rsidP="001A27AE">
      <w:pPr>
        <w:spacing w:after="0" w:line="240" w:lineRule="auto"/>
        <w:jc w:val="center"/>
        <w:rPr>
          <w:rFonts w:ascii="Georgia" w:eastAsia="Times New Roman" w:hAnsi="Georgia" w:cs="Times New Roman"/>
          <w:b/>
          <w:bCs/>
          <w:kern w:val="0"/>
          <w:sz w:val="28"/>
          <w:szCs w:val="28"/>
          <w14:ligatures w14:val="none"/>
        </w:rPr>
      </w:pPr>
      <w:r w:rsidRPr="001A27AE">
        <w:rPr>
          <w:rFonts w:ascii="Georgia" w:eastAsia="Times New Roman" w:hAnsi="Georgia" w:cs="Times New Roman"/>
          <w:b/>
          <w:bCs/>
          <w:kern w:val="0"/>
          <w:sz w:val="28"/>
          <w:szCs w:val="28"/>
          <w14:ligatures w14:val="none"/>
        </w:rPr>
        <w:t>ANTI-HUNGER &amp; NUTRITION STAKEHOLDERS ON PUBLIC CHARGE RESCISSION</w:t>
      </w:r>
    </w:p>
    <w:p w14:paraId="40E36C5F" w14:textId="77777777" w:rsidR="001A27AE" w:rsidRPr="001A27AE" w:rsidRDefault="001A27AE" w:rsidP="001A27AE">
      <w:pPr>
        <w:spacing w:after="0" w:line="240" w:lineRule="auto"/>
        <w:rPr>
          <w:rFonts w:ascii="Georgia" w:eastAsia="Times New Roman" w:hAnsi="Georgia" w:cs="Times New Roman"/>
          <w:b/>
          <w:bCs/>
          <w:kern w:val="0"/>
          <w:u w:val="single"/>
          <w14:ligatures w14:val="none"/>
        </w:rPr>
      </w:pPr>
    </w:p>
    <w:p w14:paraId="6FC1599E" w14:textId="77777777" w:rsidR="001A27AE" w:rsidRPr="001A27AE" w:rsidRDefault="001A27AE" w:rsidP="001A27AE">
      <w:pPr>
        <w:spacing w:after="0" w:line="240" w:lineRule="auto"/>
        <w:rPr>
          <w:rFonts w:ascii="Georgia" w:eastAsia="Times New Roman" w:hAnsi="Georgia" w:cs="Times New Roman"/>
          <w:b/>
          <w:bCs/>
          <w:kern w:val="0"/>
          <w:u w:val="single"/>
          <w14:ligatures w14:val="none"/>
        </w:rPr>
      </w:pPr>
      <w:r w:rsidRPr="001A27AE">
        <w:rPr>
          <w:rFonts w:ascii="Georgia" w:eastAsia="Times New Roman" w:hAnsi="Georgia" w:cs="Times New Roman"/>
          <w:b/>
          <w:bCs/>
          <w:kern w:val="0"/>
          <w:highlight w:val="yellow"/>
          <w:u w:val="single"/>
          <w14:ligatures w14:val="none"/>
        </w:rPr>
        <w:t>Date</w:t>
      </w:r>
    </w:p>
    <w:p w14:paraId="6797EBD2" w14:textId="77777777" w:rsidR="001A27AE" w:rsidRPr="001A27AE" w:rsidRDefault="001A27AE" w:rsidP="001A27AE">
      <w:pPr>
        <w:spacing w:after="0" w:line="240" w:lineRule="auto"/>
        <w:rPr>
          <w:rFonts w:ascii="Georgia" w:eastAsia="Times New Roman" w:hAnsi="Georgia" w:cs="Times New Roman"/>
          <w:b/>
          <w:kern w:val="0"/>
          <w:u w:val="single"/>
          <w14:ligatures w14:val="none"/>
        </w:rPr>
      </w:pPr>
    </w:p>
    <w:p w14:paraId="4A3EC702" w14:textId="77777777" w:rsidR="001A27AE" w:rsidRPr="001A27AE" w:rsidRDefault="001A27AE" w:rsidP="001A27AE">
      <w:p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Department of Homeland Security</w:t>
      </w:r>
    </w:p>
    <w:p w14:paraId="65656AE5" w14:textId="77777777" w:rsidR="001A27AE" w:rsidRPr="001A27AE" w:rsidRDefault="001A27AE" w:rsidP="001A27AE">
      <w:p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20 Massachusetts Avenue NW</w:t>
      </w:r>
    </w:p>
    <w:p w14:paraId="7EC2C4DB" w14:textId="77777777" w:rsidR="001A27AE" w:rsidRPr="001A27AE" w:rsidRDefault="001A27AE" w:rsidP="001A27AE">
      <w:p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Washington, DC 20529-2140</w:t>
      </w:r>
    </w:p>
    <w:p w14:paraId="1106F475" w14:textId="77777777" w:rsidR="001A27AE" w:rsidRPr="001A27AE" w:rsidRDefault="001A27AE" w:rsidP="001A27AE">
      <w:pPr>
        <w:spacing w:after="0" w:line="240" w:lineRule="auto"/>
        <w:rPr>
          <w:rFonts w:ascii="Georgia" w:eastAsia="Aptos" w:hAnsi="Georgia" w:cs="Times New Roman"/>
          <w:kern w:val="0"/>
          <w14:ligatures w14:val="none"/>
        </w:rPr>
      </w:pPr>
    </w:p>
    <w:p w14:paraId="52DCD963" w14:textId="77777777" w:rsidR="001A27AE" w:rsidRPr="001A27AE" w:rsidRDefault="001A27AE" w:rsidP="001A27AE">
      <w:p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Re: DHS Docket No. USCIS- 2025-0304, RIN 1615-AD06, Comments in Response to Proposed Rulemaking: Inadmissibility </w:t>
      </w:r>
      <w:proofErr w:type="gramStart"/>
      <w:r w:rsidRPr="001A27AE">
        <w:rPr>
          <w:rFonts w:ascii="Georgia" w:eastAsia="Aptos" w:hAnsi="Georgia" w:cs="Times New Roman"/>
          <w:kern w:val="0"/>
          <w14:ligatures w14:val="none"/>
        </w:rPr>
        <w:t>on</w:t>
      </w:r>
      <w:proofErr w:type="gramEnd"/>
      <w:r w:rsidRPr="001A27AE">
        <w:rPr>
          <w:rFonts w:ascii="Georgia" w:eastAsia="Aptos" w:hAnsi="Georgia" w:cs="Times New Roman"/>
          <w:kern w:val="0"/>
          <w14:ligatures w14:val="none"/>
        </w:rPr>
        <w:t xml:space="preserve"> Public Charge Grounds</w:t>
      </w:r>
    </w:p>
    <w:p w14:paraId="7D8C7D3C" w14:textId="77777777" w:rsidR="001A27AE" w:rsidRPr="001A27AE" w:rsidRDefault="001A27AE" w:rsidP="001A27AE">
      <w:pPr>
        <w:spacing w:after="0" w:line="240" w:lineRule="auto"/>
        <w:rPr>
          <w:rFonts w:ascii="Georgia" w:eastAsia="Aptos" w:hAnsi="Georgia" w:cs="Times New Roman"/>
          <w:kern w:val="0"/>
          <w14:ligatures w14:val="none"/>
        </w:rPr>
      </w:pPr>
    </w:p>
    <w:p w14:paraId="11AD5193" w14:textId="77777777" w:rsidR="001A27AE" w:rsidRPr="001A27AE" w:rsidRDefault="001A27AE" w:rsidP="001A27AE">
      <w:p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Dear Sir/Madam:</w:t>
      </w:r>
    </w:p>
    <w:p w14:paraId="411F21BC" w14:textId="77777777" w:rsidR="001A27AE" w:rsidRPr="001A27AE" w:rsidRDefault="001A27AE" w:rsidP="001A27AE">
      <w:pPr>
        <w:autoSpaceDE w:val="0"/>
        <w:autoSpaceDN w:val="0"/>
        <w:adjustRightInd w:val="0"/>
        <w:spacing w:after="0" w:line="240" w:lineRule="auto"/>
        <w:rPr>
          <w:rFonts w:ascii="Georgia" w:eastAsia="Aptos" w:hAnsi="Georgia" w:cs="Times New Roman"/>
          <w:kern w:val="0"/>
          <w14:ligatures w14:val="none"/>
        </w:rPr>
      </w:pPr>
    </w:p>
    <w:p w14:paraId="625DFF03" w14:textId="77777777" w:rsidR="001A27AE" w:rsidRPr="001A27AE" w:rsidRDefault="001A27AE" w:rsidP="001A27AE">
      <w:pPr>
        <w:autoSpaceDE w:val="0"/>
        <w:autoSpaceDN w:val="0"/>
        <w:adjustRightInd w:val="0"/>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I am writing on behalf of </w:t>
      </w:r>
      <w:r w:rsidRPr="001A27AE">
        <w:rPr>
          <w:rFonts w:ascii="Georgia" w:eastAsia="Aptos" w:hAnsi="Georgia" w:cs="Times New Roman"/>
          <w:kern w:val="0"/>
          <w:highlight w:val="yellow"/>
          <w14:ligatures w14:val="none"/>
        </w:rPr>
        <w:t>[insert name of organization</w:t>
      </w:r>
      <w:r w:rsidRPr="001A27AE">
        <w:rPr>
          <w:rFonts w:ascii="Georgia" w:eastAsia="Aptos" w:hAnsi="Georgia" w:cs="Times New Roman"/>
          <w:kern w:val="0"/>
          <w14:ligatures w14:val="none"/>
        </w:rPr>
        <w:t xml:space="preserve">] to express strong opposition to the Department of Homeland Security’s proposed Rule “Public Charge Ground of Inadmissibility” and ask that the Rule be withdrawn. Rescinding the 2022 public charge ground of inadmissibility regulations would unravel decades of sound and settled public policy that draws a clear and responsible line between those public benefits which may be used without causing public charge consequences for immigration purposes and those that may not. </w:t>
      </w:r>
    </w:p>
    <w:p w14:paraId="4B0D0E80" w14:textId="77777777" w:rsidR="001A27AE" w:rsidRPr="001A27AE" w:rsidRDefault="001A27AE" w:rsidP="001A27AE">
      <w:pPr>
        <w:autoSpaceDE w:val="0"/>
        <w:autoSpaceDN w:val="0"/>
        <w:adjustRightInd w:val="0"/>
        <w:spacing w:after="0" w:line="240" w:lineRule="auto"/>
        <w:rPr>
          <w:rFonts w:ascii="Georgia" w:eastAsia="Aptos" w:hAnsi="Georgia" w:cs="Times New Roman"/>
          <w:kern w:val="0"/>
          <w14:ligatures w14:val="none"/>
        </w:rPr>
      </w:pPr>
    </w:p>
    <w:p w14:paraId="4EF21A5E" w14:textId="77777777" w:rsidR="001A27AE" w:rsidRPr="001A27AE" w:rsidRDefault="001A27AE" w:rsidP="001A27AE">
      <w:pPr>
        <w:spacing w:after="0" w:line="240" w:lineRule="auto"/>
        <w:rPr>
          <w:rFonts w:ascii="Georgia" w:eastAsia="Aptos" w:hAnsi="Georgia" w:cs="Times New Roman"/>
          <w:color w:val="000000"/>
          <w:kern w:val="0"/>
          <w:shd w:val="clear" w:color="auto" w:fill="FFFF00"/>
          <w14:ligatures w14:val="none"/>
        </w:rPr>
      </w:pPr>
      <w:r w:rsidRPr="001A27AE">
        <w:rPr>
          <w:rFonts w:ascii="Georgia" w:eastAsia="Aptos" w:hAnsi="Georgia" w:cs="Times New Roman"/>
          <w:color w:val="000000"/>
          <w:kern w:val="0"/>
          <w:shd w:val="clear" w:color="auto" w:fill="FFFF00"/>
          <w14:ligatures w14:val="none"/>
        </w:rPr>
        <w:t xml:space="preserve">[INSERT a paragraph describing your organization, why this is particularly urgent </w:t>
      </w:r>
      <w:proofErr w:type="gramStart"/>
      <w:r w:rsidRPr="001A27AE">
        <w:rPr>
          <w:rFonts w:ascii="Georgia" w:eastAsia="Aptos" w:hAnsi="Georgia" w:cs="Times New Roman"/>
          <w:color w:val="000000"/>
          <w:kern w:val="0"/>
          <w:shd w:val="clear" w:color="auto" w:fill="FFFF00"/>
          <w14:ligatures w14:val="none"/>
        </w:rPr>
        <w:t>to</w:t>
      </w:r>
      <w:proofErr w:type="gramEnd"/>
      <w:r w:rsidRPr="001A27AE">
        <w:rPr>
          <w:rFonts w:ascii="Georgia" w:eastAsia="Aptos" w:hAnsi="Georgia" w:cs="Times New Roman"/>
          <w:color w:val="000000"/>
          <w:kern w:val="0"/>
          <w:shd w:val="clear" w:color="auto" w:fill="FFFF00"/>
          <w14:ligatures w14:val="none"/>
        </w:rPr>
        <w:t xml:space="preserve"> you, and the expertise that you have </w:t>
      </w:r>
      <w:proofErr w:type="gramStart"/>
      <w:r w:rsidRPr="001A27AE">
        <w:rPr>
          <w:rFonts w:ascii="Georgia" w:eastAsia="Aptos" w:hAnsi="Georgia" w:cs="Times New Roman"/>
          <w:color w:val="000000"/>
          <w:kern w:val="0"/>
          <w:shd w:val="clear" w:color="auto" w:fill="FFFF00"/>
          <w14:ligatures w14:val="none"/>
        </w:rPr>
        <w:t>on</w:t>
      </w:r>
      <w:proofErr w:type="gramEnd"/>
      <w:r w:rsidRPr="001A27AE">
        <w:rPr>
          <w:rFonts w:ascii="Georgia" w:eastAsia="Aptos" w:hAnsi="Georgia" w:cs="Times New Roman"/>
          <w:color w:val="000000"/>
          <w:kern w:val="0"/>
          <w:shd w:val="clear" w:color="auto" w:fill="FFFF00"/>
          <w14:ligatures w14:val="none"/>
        </w:rPr>
        <w:t xml:space="preserve"> the issues raised. If you are a service provider, consider including specific data on the populations you serve. If you are a state/local organization, consider including demographic information.]</w:t>
      </w:r>
    </w:p>
    <w:p w14:paraId="38EA6822" w14:textId="77777777" w:rsidR="001A27AE" w:rsidRPr="001A27AE" w:rsidRDefault="001A27AE" w:rsidP="001A27AE">
      <w:pPr>
        <w:spacing w:after="0" w:line="240" w:lineRule="auto"/>
        <w:rPr>
          <w:rFonts w:ascii="Georgia" w:eastAsia="Aptos" w:hAnsi="Georgia" w:cs="Times New Roman"/>
          <w:kern w:val="0"/>
          <w14:ligatures w14:val="none"/>
        </w:rPr>
      </w:pPr>
    </w:p>
    <w:p w14:paraId="13A9ADFB" w14:textId="77777777" w:rsidR="001A27AE" w:rsidRPr="001A27AE" w:rsidRDefault="001A27AE" w:rsidP="001A27AE">
      <w:pPr>
        <w:spacing w:line="240" w:lineRule="auto"/>
      </w:pPr>
      <w:r w:rsidRPr="001A27AE">
        <w:t xml:space="preserve">For almost two decades, U.S. immigration officials have explicitly reassured, and immigrant families have relied on that reassurance, that participation in programs like SNAP, the Supplemental Nutrition Program for Women, Infants, and Children (WIC), the Child Nutrition Programs, and other non-cash mean tested benefits, would not affect their ability to become lawful permanent residents. The proposed Rule would reverse longstanding existing law, policy, and practice in interpreting the public charge law, where the receipt of non-cash benefits has never been the determining factor in deciding whether an individual is likely to become a public charge. </w:t>
      </w:r>
    </w:p>
    <w:p w14:paraId="6F84308D"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b/>
          <w:bCs/>
          <w:kern w:val="0"/>
          <w14:ligatures w14:val="none"/>
        </w:rPr>
        <w:t>The proposed rule eliminates the clear limits in current regulations regarding which benefits may be considered</w:t>
      </w:r>
      <w:r w:rsidRPr="001A27AE">
        <w:rPr>
          <w:rFonts w:ascii="Georgia" w:eastAsia="Aptos" w:hAnsi="Georgia" w:cs="Times New Roman"/>
          <w:kern w:val="0"/>
          <w14:ligatures w14:val="none"/>
        </w:rPr>
        <w:t>.</w:t>
      </w:r>
      <w:r w:rsidRPr="001A27AE">
        <w:rPr>
          <w:rFonts w:ascii="Georgia" w:eastAsia="Aptos" w:hAnsi="Georgia" w:cs="Times New Roman"/>
          <w:kern w:val="0"/>
          <w:vertAlign w:val="superscript"/>
          <w14:ligatures w14:val="none"/>
        </w:rPr>
        <w:footnoteReference w:id="1"/>
      </w:r>
      <w:r w:rsidRPr="001A27AE">
        <w:rPr>
          <w:rFonts w:ascii="Georgia" w:eastAsia="Aptos" w:hAnsi="Georgia" w:cs="Times New Roman"/>
          <w:kern w:val="0"/>
          <w14:ligatures w14:val="none"/>
        </w:rPr>
        <w:t xml:space="preserve"> It suggests that any means-tested </w:t>
      </w:r>
      <w:r w:rsidRPr="001A27AE">
        <w:rPr>
          <w:rFonts w:ascii="Georgia" w:eastAsia="Aptos" w:hAnsi="Georgia" w:cs="Times New Roman"/>
          <w:kern w:val="0"/>
          <w14:ligatures w14:val="none"/>
        </w:rPr>
        <w:lastRenderedPageBreak/>
        <w:t xml:space="preserve">benefit, received or applied for at any time and in any amount, even when used by U.S. citizen or lawful permanent resident family members, could be treated as negative evidence. Because the rule does not define “means-tested public benefits” and instead uses broad, vague terms such as “public benefit programs” and “public resources,” it creates substantial confusion. </w:t>
      </w:r>
    </w:p>
    <w:p w14:paraId="3D477E2B"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The rule also appears to expand scrutiny to benefits used by family members by removing the explicit protection that receipt of benefits on behalf of others does not count against the applicant. This change would significantly chill participation among U.S. citizen and LPR children and pregnant people, increasing risks to their health and well-being.</w:t>
      </w:r>
    </w:p>
    <w:p w14:paraId="7AC015A7" w14:textId="77777777" w:rsidR="001A27AE" w:rsidRDefault="001A27AE" w:rsidP="001A27AE">
      <w:pPr>
        <w:spacing w:after="0" w:line="240" w:lineRule="auto"/>
        <w:outlineLvl w:val="2"/>
        <w:rPr>
          <w:rFonts w:ascii="Georgia" w:eastAsia="Aptos" w:hAnsi="Georgia" w:cs="Times New Roman"/>
          <w:bCs/>
          <w:color w:val="000000"/>
          <w:kern w:val="0"/>
          <w14:ligatures w14:val="none"/>
        </w:rPr>
      </w:pPr>
      <w:r w:rsidRPr="001A27AE">
        <w:rPr>
          <w:rFonts w:ascii="Georgia" w:eastAsia="Aptos" w:hAnsi="Georgia" w:cs="Times New Roman"/>
          <w:bCs/>
          <w:color w:val="000000"/>
          <w:kern w:val="0"/>
          <w14:ligatures w14:val="none"/>
        </w:rPr>
        <w:t>If adopted, the rule would lead to a hungrier, sicker, and poorer nation, and would have the most severe impact on immigrants who are people of color, children, seniors, limited-English proficient speakers, and low- or moderate-income earners.</w:t>
      </w:r>
    </w:p>
    <w:p w14:paraId="68BBDE15" w14:textId="77777777" w:rsidR="009952E7" w:rsidRPr="001A27AE" w:rsidRDefault="009952E7" w:rsidP="001A27AE">
      <w:pPr>
        <w:spacing w:after="0" w:line="240" w:lineRule="auto"/>
        <w:outlineLvl w:val="2"/>
        <w:rPr>
          <w:rFonts w:ascii="Georgia" w:eastAsia="Aptos" w:hAnsi="Georgia" w:cs="Times New Roman"/>
          <w:bCs/>
          <w:kern w:val="0"/>
          <w14:ligatures w14:val="none"/>
        </w:rPr>
      </w:pPr>
    </w:p>
    <w:p w14:paraId="360BA64C" w14:textId="77777777" w:rsidR="001A27AE" w:rsidRDefault="001A27AE" w:rsidP="001A27AE">
      <w:pPr>
        <w:numPr>
          <w:ilvl w:val="0"/>
          <w:numId w:val="2"/>
        </w:numPr>
        <w:spacing w:before="240" w:after="240" w:line="240" w:lineRule="auto"/>
        <w:contextualSpacing/>
        <w:rPr>
          <w:rFonts w:ascii="Georgia" w:eastAsia="Aptos" w:hAnsi="Georgia" w:cs="Times New Roman"/>
          <w:b/>
          <w:bCs/>
          <w:kern w:val="0"/>
          <w14:ligatures w14:val="none"/>
        </w:rPr>
      </w:pPr>
      <w:r w:rsidRPr="001A27AE">
        <w:rPr>
          <w:rFonts w:ascii="Georgia" w:eastAsia="Aptos" w:hAnsi="Georgia" w:cs="Times New Roman"/>
          <w:b/>
          <w:bCs/>
          <w:kern w:val="0"/>
          <w14:ligatures w14:val="none"/>
        </w:rPr>
        <w:t xml:space="preserve">The proposed rule would prompt U.S. citizens, lawful permanent residents, and immigrants who are legally eligible for programs such as SNAP, WIC, the Child Nutrition Programs, </w:t>
      </w:r>
      <w:r w:rsidRPr="001A27AE">
        <w:rPr>
          <w:rFonts w:ascii="Georgia" w:eastAsia="Aptos" w:hAnsi="Georgia" w:cs="Times New Roman"/>
          <w:b/>
          <w:bCs/>
          <w:color w:val="222222"/>
          <w:kern w:val="0"/>
          <w14:ligatures w14:val="none"/>
        </w:rPr>
        <w:t>and other public benefit programs,</w:t>
      </w:r>
      <w:r w:rsidRPr="001A27AE">
        <w:rPr>
          <w:rFonts w:ascii="Georgia" w:eastAsia="Aptos" w:hAnsi="Georgia" w:cs="Times New Roman"/>
          <w:b/>
          <w:bCs/>
          <w:kern w:val="0"/>
          <w14:ligatures w14:val="none"/>
        </w:rPr>
        <w:t xml:space="preserve"> to forgo or withdraw from these benefits. This chilling effect would jeopardize food security, health, and economic stability for millions of families.</w:t>
      </w:r>
    </w:p>
    <w:p w14:paraId="63F2B2F1" w14:textId="77777777" w:rsidR="009952E7" w:rsidRPr="001A27AE" w:rsidRDefault="009952E7" w:rsidP="009952E7">
      <w:pPr>
        <w:spacing w:before="240" w:after="240" w:line="240" w:lineRule="auto"/>
        <w:contextualSpacing/>
        <w:rPr>
          <w:rFonts w:ascii="Georgia" w:eastAsia="Aptos" w:hAnsi="Georgia" w:cs="Times New Roman"/>
          <w:b/>
          <w:bCs/>
          <w:kern w:val="0"/>
          <w14:ligatures w14:val="none"/>
        </w:rPr>
      </w:pPr>
    </w:p>
    <w:p w14:paraId="77F78A8C" w14:textId="77777777" w:rsidR="001A27AE" w:rsidRPr="001A27AE" w:rsidRDefault="001A27AE" w:rsidP="001A27AE">
      <w:pPr>
        <w:spacing w:before="240" w:after="240" w:line="240" w:lineRule="auto"/>
        <w:rPr>
          <w:rFonts w:ascii="Georgia" w:eastAsia="Aptos" w:hAnsi="Georgia" w:cs="Times New Roman"/>
          <w:color w:val="333333"/>
          <w:kern w:val="0"/>
          <w14:ligatures w14:val="none"/>
        </w:rPr>
      </w:pPr>
      <w:r w:rsidRPr="001A27AE">
        <w:rPr>
          <w:rFonts w:ascii="Georgia" w:eastAsia="Aptos" w:hAnsi="Georgia" w:cs="Times New Roman"/>
          <w:color w:val="333333"/>
          <w:kern w:val="0"/>
          <w14:ligatures w14:val="none"/>
        </w:rPr>
        <w:t>The Department of Homeland Security (DHS) has acknowledged that public benefits “play a significant role” in helping individuals work, attend school, and maintain their health.</w:t>
      </w:r>
      <w:r w:rsidRPr="001A27AE">
        <w:rPr>
          <w:rFonts w:ascii="Georgia" w:eastAsia="Aptos" w:hAnsi="Georgia" w:cs="Times New Roman"/>
          <w:color w:val="333333"/>
          <w:kern w:val="0"/>
          <w:vertAlign w:val="superscript"/>
          <w14:ligatures w14:val="none"/>
        </w:rPr>
        <w:footnoteReference w:id="2"/>
      </w:r>
      <w:r w:rsidRPr="001A27AE">
        <w:rPr>
          <w:rFonts w:ascii="Georgia" w:eastAsia="Aptos" w:hAnsi="Georgia" w:cs="Times New Roman"/>
          <w:color w:val="333333"/>
          <w:kern w:val="0"/>
          <w14:ligatures w14:val="none"/>
        </w:rPr>
        <w:t xml:space="preserve"> When families can access these supports, communities experience stronger educational outcomes, improved health, and increased economic participation. Conversely, when families avoid needed assistance, the consequences reverberate across schools, hospitals, and local economies. These programs also respond automatically to economic downturns, providing immediate relief when families face hardship. By stabilizing household budgets and enabling families to meet basic needs, federal nutrition and health programs function not only as a safety net but also as an economic stabilizer—injecting spending into local economies and supporting businesses during periods of financial stress.</w:t>
      </w:r>
    </w:p>
    <w:p w14:paraId="6E8B0E00"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lastRenderedPageBreak/>
        <w:t>DHS’s own 2018 analysis, based on a far narrower proposal, warned that disenrollment by eligible immigrants could result in worse health outcomes, greater use of emergency rooms due to delayed care, increased spread of communicable diseases, higher uncompensated care costs, greater poverty and housing instability, and reduced productivity and educational attainment.</w:t>
      </w:r>
      <w:r w:rsidRPr="001A27AE">
        <w:rPr>
          <w:rFonts w:ascii="Georgia" w:eastAsia="Aptos" w:hAnsi="Georgia" w:cs="Times New Roman"/>
          <w:kern w:val="0"/>
          <w:vertAlign w:val="superscript"/>
          <w14:ligatures w14:val="none"/>
        </w:rPr>
        <w:footnoteReference w:id="3"/>
      </w:r>
      <w:r w:rsidRPr="001A27AE">
        <w:rPr>
          <w:rFonts w:ascii="Georgia" w:eastAsia="Aptos" w:hAnsi="Georgia" w:cs="Times New Roman"/>
          <w:kern w:val="0"/>
          <w14:ligatures w14:val="none"/>
        </w:rPr>
        <w:t xml:space="preserve"> These harms would be significantly magnified under the current, far more expansive proposal.</w:t>
      </w:r>
    </w:p>
    <w:p w14:paraId="67A4FAA0"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DHS now estimates that at least 446,664 individuals, many of them children, would lose access to SNAP due to disenrollment </w:t>
      </w:r>
      <w:r w:rsidRPr="001A27AE">
        <w:rPr>
          <w:rFonts w:ascii="Georgia" w:eastAsia="Aptos" w:hAnsi="Georgia" w:cs="Times New Roman"/>
          <w:kern w:val="0"/>
          <w:vertAlign w:val="superscript"/>
          <w14:ligatures w14:val="none"/>
        </w:rPr>
        <w:footnoteReference w:id="4"/>
      </w:r>
      <w:r w:rsidRPr="001A27AE">
        <w:rPr>
          <w:rFonts w:ascii="Georgia" w:eastAsia="Aptos" w:hAnsi="Georgia" w:cs="Times New Roman"/>
          <w:kern w:val="0"/>
          <w14:ligatures w14:val="none"/>
        </w:rPr>
        <w:t xml:space="preserve">—an underestimation given the proposal’s broad and undefined scope. The rule also provides no analysis of the effects on child nutrition programs such as WIC or School Meals. Participating in the Child Nutrition Programs has never been considered in public charge considerations; however, it is very likely that eligible families will refuse to participate in school meals and other child nutrition programs due to fear of public charge determinations. </w:t>
      </w:r>
    </w:p>
    <w:p w14:paraId="3F2FCA3B" w14:textId="77777777" w:rsidR="001A27AE" w:rsidRPr="001A27AE" w:rsidRDefault="001A27AE" w:rsidP="001A27AE">
      <w:pPr>
        <w:spacing w:before="240" w:after="240" w:line="240" w:lineRule="auto"/>
        <w:rPr>
          <w:rFonts w:ascii="Georgia" w:eastAsia="Calibri" w:hAnsi="Georgia" w:cs="Times New Roman"/>
          <w:kern w:val="0"/>
          <w14:ligatures w14:val="none"/>
        </w:rPr>
      </w:pPr>
      <w:r w:rsidRPr="001A27AE">
        <w:rPr>
          <w:rFonts w:ascii="Georgia" w:eastAsia="Aptos" w:hAnsi="Georgia" w:cs="Times New Roman"/>
          <w:kern w:val="0"/>
          <w14:ligatures w14:val="none"/>
        </w:rPr>
        <w:t xml:space="preserve">The benefits of the federal nutrition programs are well documented, particularly for children. </w:t>
      </w:r>
    </w:p>
    <w:p w14:paraId="276E07CF" w14:textId="77777777" w:rsidR="001A27AE" w:rsidRPr="001A27AE" w:rsidRDefault="001A27AE" w:rsidP="001A27AE">
      <w:pPr>
        <w:autoSpaceDE w:val="0"/>
        <w:autoSpaceDN w:val="0"/>
        <w:adjustRightInd w:val="0"/>
        <w:spacing w:after="0" w:line="240" w:lineRule="auto"/>
        <w:rPr>
          <w:rFonts w:ascii="Georgia" w:eastAsia="Aptos" w:hAnsi="Georgia" w:cs="Times New Roman"/>
          <w:kern w:val="0"/>
          <w14:ligatures w14:val="none"/>
        </w:rPr>
      </w:pPr>
      <w:r w:rsidRPr="001A27AE">
        <w:rPr>
          <w:rFonts w:ascii="Georgia" w:eastAsia="Aptos" w:hAnsi="Georgia" w:cs="Times New Roman"/>
          <w:b/>
          <w:bCs/>
          <w:kern w:val="0"/>
          <w14:ligatures w14:val="none"/>
        </w:rPr>
        <w:t xml:space="preserve">For SNAP: </w:t>
      </w:r>
      <w:r w:rsidRPr="001A27AE">
        <w:rPr>
          <w:rFonts w:ascii="Georgia" w:eastAsia="Aptos" w:hAnsi="Georgia" w:cs="Times New Roman"/>
          <w:b/>
          <w:bCs/>
          <w:kern w:val="0"/>
          <w:highlight w:val="yellow"/>
          <w14:ligatures w14:val="none"/>
        </w:rPr>
        <w:t>[pick any sample and utilize state-specific data where available. Y</w:t>
      </w:r>
      <w:r w:rsidRPr="001A27AE">
        <w:rPr>
          <w:rFonts w:ascii="Georgia" w:eastAsia="Calibri" w:hAnsi="Georgia" w:cs="Times New Roman"/>
          <w:b/>
          <w:bCs/>
          <w:kern w:val="0"/>
          <w:highlight w:val="yellow"/>
          <w14:ligatures w14:val="none"/>
        </w:rPr>
        <w:t xml:space="preserve">ou can also find more information about the impact of SNAP in your state </w:t>
      </w:r>
      <w:hyperlink r:id="rId7" w:history="1">
        <w:r w:rsidRPr="001A27AE">
          <w:rPr>
            <w:rFonts w:ascii="Georgia" w:eastAsia="Calibri" w:hAnsi="Georgia" w:cs="Times New Roman"/>
            <w:b/>
            <w:bCs/>
            <w:color w:val="0000FF"/>
            <w:kern w:val="0"/>
            <w:highlight w:val="yellow"/>
            <w:u w:val="single"/>
            <w14:ligatures w14:val="none"/>
          </w:rPr>
          <w:t>here</w:t>
        </w:r>
      </w:hyperlink>
      <w:r w:rsidRPr="001A27AE">
        <w:rPr>
          <w:rFonts w:ascii="Georgia" w:eastAsia="Calibri" w:hAnsi="Georgia" w:cs="Times New Roman"/>
          <w:b/>
          <w:bCs/>
          <w:color w:val="000000"/>
          <w:kern w:val="0"/>
          <w:highlight w:val="yellow"/>
          <w14:ligatures w14:val="none"/>
        </w:rPr>
        <w:t>.</w:t>
      </w:r>
      <w:r w:rsidRPr="001A27AE">
        <w:rPr>
          <w:rFonts w:ascii="Georgia" w:eastAsia="Aptos" w:hAnsi="Georgia" w:cs="Times New Roman"/>
          <w:b/>
          <w:bCs/>
          <w:kern w:val="0"/>
          <w:highlight w:val="yellow"/>
          <w14:ligatures w14:val="none"/>
        </w:rPr>
        <w:t>]</w:t>
      </w:r>
    </w:p>
    <w:p w14:paraId="432E69E3" w14:textId="77777777" w:rsidR="001A27AE" w:rsidRPr="001A27AE" w:rsidRDefault="001A27AE" w:rsidP="001A27AE">
      <w:pPr>
        <w:numPr>
          <w:ilvl w:val="0"/>
          <w:numId w:val="3"/>
        </w:numPr>
        <w:autoSpaceDE w:val="0"/>
        <w:autoSpaceDN w:val="0"/>
        <w:adjustRightInd w:val="0"/>
        <w:spacing w:after="0" w:line="240" w:lineRule="auto"/>
        <w:rPr>
          <w:rFonts w:ascii="Georgia" w:eastAsia="Aptos" w:hAnsi="Georgia" w:cs="Times New Roman"/>
          <w:kern w:val="0"/>
          <w14:ligatures w14:val="none"/>
        </w:rPr>
      </w:pPr>
      <w:r w:rsidRPr="001A27AE">
        <w:rPr>
          <w:rFonts w:ascii="Georgia" w:eastAsia="Aptos" w:hAnsi="Georgia" w:cs="Times New Roman"/>
          <w:color w:val="000000"/>
          <w:kern w:val="0"/>
          <w14:ligatures w14:val="none"/>
        </w:rPr>
        <w:t>A raft of studies show that SNAP improves food security, dietary intake, and health, especially among children, and with lasting effects.</w:t>
      </w:r>
    </w:p>
    <w:p w14:paraId="66A11390" w14:textId="77777777" w:rsidR="001A27AE" w:rsidRPr="001A27AE" w:rsidRDefault="001A27AE" w:rsidP="001A27AE">
      <w:pPr>
        <w:numPr>
          <w:ilvl w:val="0"/>
          <w:numId w:val="3"/>
        </w:num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As researchers reported in </w:t>
      </w:r>
      <w:r w:rsidRPr="001A27AE">
        <w:rPr>
          <w:rFonts w:ascii="Georgia" w:eastAsia="Aptos" w:hAnsi="Georgia" w:cs="Times New Roman"/>
          <w:i/>
          <w:iCs/>
          <w:kern w:val="0"/>
          <w14:ligatures w14:val="none"/>
        </w:rPr>
        <w:t>SNAP Matters</w:t>
      </w:r>
      <w:r w:rsidRPr="001A27AE">
        <w:rPr>
          <w:rFonts w:ascii="Georgia" w:eastAsia="Aptos" w:hAnsi="Georgia" w:cs="Times New Roman"/>
          <w:kern w:val="0"/>
          <w14:ligatures w14:val="none"/>
        </w:rPr>
        <w:t xml:space="preserve">: “SNAP [is] the most effective antipoverty program among the non-elderly,” reducing rates of poverty, especially for children, more than do other programs.  Tiehen, L., Jolliffe, D., &amp; Smeeding, T. M. (2015). The Effect of SNAP on Poverty. In J. </w:t>
      </w:r>
      <w:proofErr w:type="spellStart"/>
      <w:r w:rsidRPr="001A27AE">
        <w:rPr>
          <w:rFonts w:ascii="Georgia" w:eastAsia="Aptos" w:hAnsi="Georgia" w:cs="Times New Roman"/>
          <w:kern w:val="0"/>
          <w14:ligatures w14:val="none"/>
        </w:rPr>
        <w:t>Bartfeld</w:t>
      </w:r>
      <w:proofErr w:type="spellEnd"/>
      <w:r w:rsidRPr="001A27AE">
        <w:rPr>
          <w:rFonts w:ascii="Georgia" w:eastAsia="Aptos" w:hAnsi="Georgia" w:cs="Times New Roman"/>
          <w:kern w:val="0"/>
          <w14:ligatures w14:val="none"/>
        </w:rPr>
        <w:t>, C. Gundersen, T. M. Smeeding, &amp; J. P. Ziliak (Eds.), SNAP Matters: How Food Stamps Affect Health and Well-Being (pp. 49–73). Stanford, CA: Stanford University Press</w:t>
      </w:r>
    </w:p>
    <w:p w14:paraId="4C785CF2" w14:textId="77777777" w:rsidR="001A27AE" w:rsidRPr="001A27AE" w:rsidRDefault="001A27AE" w:rsidP="001A27AE">
      <w:pPr>
        <w:numPr>
          <w:ilvl w:val="0"/>
          <w:numId w:val="3"/>
        </w:num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Access to SNAP in utero and in early childhood increased women’s economic self-sufficiency in terms of increased educational attainment, earnings, and income, and reduced poverty and public assistance program participation in adulthood. Hoynes, H., Schanzenbach, D. W., &amp; Almond, D. (2016). Long-run impacts of childhood access to the safety net. American Economic Review, 106(4), 903–934</w:t>
      </w:r>
    </w:p>
    <w:p w14:paraId="40927D64" w14:textId="77777777" w:rsidR="001A27AE" w:rsidRPr="001A27AE" w:rsidRDefault="001A27AE" w:rsidP="001A27AE">
      <w:pPr>
        <w:numPr>
          <w:ilvl w:val="0"/>
          <w:numId w:val="3"/>
        </w:num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Based on a national sample of low-income children, SNAP significantly moderated the association between difficulty affording basic needs and repeating </w:t>
      </w:r>
      <w:r w:rsidRPr="001A27AE">
        <w:rPr>
          <w:rFonts w:ascii="Georgia" w:eastAsia="Aptos" w:hAnsi="Georgia" w:cs="Times New Roman"/>
          <w:kern w:val="0"/>
          <w14:ligatures w14:val="none"/>
        </w:rPr>
        <w:lastRenderedPageBreak/>
        <w:t xml:space="preserve">a grade, indicating that “SNAP may contribute to the educational advancement of children living in poverty, which could have lifelong positive effects for them, their families, and </w:t>
      </w:r>
      <w:proofErr w:type="gramStart"/>
      <w:r w:rsidRPr="001A27AE">
        <w:rPr>
          <w:rFonts w:ascii="Georgia" w:eastAsia="Aptos" w:hAnsi="Georgia" w:cs="Times New Roman"/>
          <w:kern w:val="0"/>
          <w14:ligatures w14:val="none"/>
        </w:rPr>
        <w:t>society as a whole</w:t>
      </w:r>
      <w:proofErr w:type="gramEnd"/>
      <w:r w:rsidRPr="001A27AE">
        <w:rPr>
          <w:rFonts w:ascii="Georgia" w:eastAsia="Aptos" w:hAnsi="Georgia" w:cs="Times New Roman"/>
          <w:kern w:val="0"/>
          <w14:ligatures w14:val="none"/>
        </w:rPr>
        <w:t xml:space="preserve">. </w:t>
      </w:r>
      <w:r w:rsidRPr="001A27AE">
        <w:rPr>
          <w:rFonts w:ascii="Georgia" w:eastAsia="Aptos" w:hAnsi="Georgia" w:cs="Times New Roman"/>
          <w:i/>
          <w:iCs/>
          <w:kern w:val="0"/>
          <w14:ligatures w14:val="none"/>
        </w:rPr>
        <w:t>Beharie, N., Mercado, M., &amp; McKay, M. (2017). A protective association between SNAP participation and educational outcomes among children of economically strained households. Journal of Hunger &amp; Environmental Nutrition, 12(2), 181–192.</w:t>
      </w:r>
    </w:p>
    <w:p w14:paraId="4EE13820" w14:textId="77777777" w:rsidR="001A27AE" w:rsidRPr="001A27AE" w:rsidRDefault="001A27AE" w:rsidP="001A27AE">
      <w:pPr>
        <w:numPr>
          <w:ilvl w:val="0"/>
          <w:numId w:val="3"/>
        </w:numPr>
        <w:spacing w:after="0" w:line="240" w:lineRule="auto"/>
        <w:rPr>
          <w:rFonts w:ascii="Georgia" w:eastAsia="Aptos" w:hAnsi="Georgia" w:cs="Times New Roman"/>
          <w:i/>
          <w:iCs/>
          <w:kern w:val="0"/>
          <w14:ligatures w14:val="none"/>
        </w:rPr>
      </w:pPr>
      <w:r w:rsidRPr="001A27AE">
        <w:rPr>
          <w:rFonts w:ascii="Georgia" w:eastAsia="Aptos" w:hAnsi="Georgia" w:cs="Times New Roman"/>
          <w:kern w:val="0"/>
          <w14:ligatures w14:val="none"/>
        </w:rPr>
        <w:t xml:space="preserve">Starting (versus stopping) SNAP Program participation at some point during the kindergarten through third grade years was associated with significant improvements in math and reading scores, particularly for female students based on national data. </w:t>
      </w:r>
      <w:r w:rsidRPr="001A27AE">
        <w:rPr>
          <w:rFonts w:ascii="Georgia" w:eastAsia="Aptos" w:hAnsi="Georgia" w:cs="Times New Roman"/>
          <w:i/>
          <w:iCs/>
          <w:kern w:val="0"/>
          <w14:ligatures w14:val="none"/>
        </w:rPr>
        <w:t>Frongillo, E. A., Jyoti, D. F., &amp; Jones, S. J. (2006). Food Stamp Program participation is associated with better academic learning among school children. Journal of Nutrition, 136(4), 1077–1080.</w:t>
      </w:r>
    </w:p>
    <w:p w14:paraId="3132F273" w14:textId="77777777" w:rsidR="001A27AE" w:rsidRPr="001A27AE" w:rsidRDefault="001A27AE" w:rsidP="001A27AE">
      <w:pPr>
        <w:numPr>
          <w:ilvl w:val="0"/>
          <w:numId w:val="3"/>
        </w:num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Other research has shown SNAP’s value by exploring the effects of its absence: the end-of-the-month effects, i.e., the adverse impact on student performance and behavior when SNAP benefits, inadequate to last the whole month, are running low or depleted for households. Based on preliminary studies set in North Carolina and South Carolina, the exhaustion of SNAP benefits at the end of the month or benefit cycle may contribute to lower math and reading achievement test scores among third to eighth grade students. Similarly, in a study of Chicago Public Schools’ fifth to eighth graders, disciplinary infractions increased at the end of the SNAP benefit cycle for students in SNAP and non-SNAP households. However, the increase was larger for students from SNAP households. </w:t>
      </w:r>
      <w:r w:rsidRPr="001A27AE">
        <w:rPr>
          <w:rFonts w:ascii="Georgia" w:eastAsia="Aptos" w:hAnsi="Georgia" w:cs="Times New Roman"/>
          <w:i/>
          <w:iCs/>
          <w:kern w:val="0"/>
          <w14:ligatures w14:val="none"/>
        </w:rPr>
        <w:t xml:space="preserve">Gassman-Pines, A., &amp; Bellows, L. E. (2015). The Timing of SNAP Benefit Receipt and Children’s Academic Achievement. Presentation at the Association of Public Policy Analysis and Management Fall Conference on November 13, 2015, Miami, FL.; Cotti, C., Gordanier, J., &amp; Ozturk, O. (2017). When Does It Count? The Timing of Food Stamp Receipt and Educational Performance. Available at: https://ssrn.com/abstract=2992390; </w:t>
      </w:r>
      <w:proofErr w:type="spellStart"/>
      <w:r w:rsidRPr="001A27AE">
        <w:rPr>
          <w:rFonts w:ascii="Georgia" w:eastAsia="Aptos" w:hAnsi="Georgia" w:cs="Times New Roman"/>
          <w:i/>
          <w:iCs/>
          <w:kern w:val="0"/>
          <w14:ligatures w14:val="none"/>
        </w:rPr>
        <w:t>Gennetian</w:t>
      </w:r>
      <w:proofErr w:type="spellEnd"/>
      <w:r w:rsidRPr="001A27AE">
        <w:rPr>
          <w:rFonts w:ascii="Georgia" w:eastAsia="Aptos" w:hAnsi="Georgia" w:cs="Times New Roman"/>
          <w:i/>
          <w:iCs/>
          <w:kern w:val="0"/>
          <w14:ligatures w14:val="none"/>
        </w:rPr>
        <w:t>, L. A., Seshadri, R., Hess, N. D., Winn, A. N., &amp; Goerge, R. M. (2016). Supplemental Nutrition Assistance Program (SNAP) benefit cycles and student disciplinary infractions. Social Service Review, 90(3), 403–433</w:t>
      </w:r>
    </w:p>
    <w:p w14:paraId="0A8C02EB" w14:textId="77777777" w:rsidR="001A27AE" w:rsidRPr="001A27AE" w:rsidRDefault="001A27AE" w:rsidP="001A27AE">
      <w:pPr>
        <w:numPr>
          <w:ilvl w:val="0"/>
          <w:numId w:val="3"/>
        </w:num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Among low-income households experiencing food insecurity among children, the odds of being food secure two years later were almost four times higher for SNAP participants compared to non-participants, according to a study that used national, longitudinal data. </w:t>
      </w:r>
      <w:r w:rsidRPr="001A27AE">
        <w:rPr>
          <w:rFonts w:ascii="Georgia" w:eastAsia="Aptos" w:hAnsi="Georgia" w:cs="Times New Roman"/>
          <w:i/>
          <w:iCs/>
          <w:kern w:val="0"/>
          <w14:ligatures w14:val="none"/>
        </w:rPr>
        <w:t>Vericker, T., &amp; Mills, G. (2012). Childhood Food Insecurity: The Mitigating Role of SNAP. Washington, DC: Urban Institute</w:t>
      </w:r>
    </w:p>
    <w:p w14:paraId="38589C61" w14:textId="77777777" w:rsidR="001A27AE" w:rsidRPr="001A27AE" w:rsidRDefault="001A27AE" w:rsidP="001A27AE">
      <w:pPr>
        <w:numPr>
          <w:ilvl w:val="0"/>
          <w:numId w:val="3"/>
        </w:numPr>
        <w:spacing w:after="0" w:line="240" w:lineRule="auto"/>
        <w:rPr>
          <w:rFonts w:ascii="Georgia" w:eastAsia="Aptos" w:hAnsi="Georgia" w:cs="Times New Roman"/>
          <w:i/>
          <w:iCs/>
          <w:kern w:val="0"/>
          <w14:ligatures w14:val="none"/>
        </w:rPr>
      </w:pPr>
      <w:r w:rsidRPr="001A27AE">
        <w:rPr>
          <w:rFonts w:ascii="Georgia" w:eastAsia="Aptos" w:hAnsi="Georgia" w:cs="Times New Roman"/>
          <w:kern w:val="0"/>
          <w14:ligatures w14:val="none"/>
        </w:rPr>
        <w:t xml:space="preserve">While food insecurity is dynamic and changes as families with children enter, participate in, and leave SNAP, a national study of more than 10,000 families found that participation in SNAP reduced the probability of child food insecurity. </w:t>
      </w:r>
      <w:r w:rsidRPr="001A27AE">
        <w:rPr>
          <w:rFonts w:ascii="Georgia" w:eastAsia="Aptos" w:hAnsi="Georgia" w:cs="Times New Roman"/>
          <w:i/>
          <w:iCs/>
          <w:kern w:val="0"/>
          <w14:ligatures w14:val="none"/>
        </w:rPr>
        <w:t xml:space="preserve">Li, Y., Mills, B., Davis, G. C., &amp; </w:t>
      </w:r>
      <w:proofErr w:type="spellStart"/>
      <w:r w:rsidRPr="001A27AE">
        <w:rPr>
          <w:rFonts w:ascii="Georgia" w:eastAsia="Aptos" w:hAnsi="Georgia" w:cs="Times New Roman"/>
          <w:i/>
          <w:iCs/>
          <w:kern w:val="0"/>
          <w14:ligatures w14:val="none"/>
        </w:rPr>
        <w:t>Mykerezi</w:t>
      </w:r>
      <w:proofErr w:type="spellEnd"/>
      <w:r w:rsidRPr="001A27AE">
        <w:rPr>
          <w:rFonts w:ascii="Georgia" w:eastAsia="Aptos" w:hAnsi="Georgia" w:cs="Times New Roman"/>
          <w:i/>
          <w:iCs/>
          <w:kern w:val="0"/>
          <w14:ligatures w14:val="none"/>
        </w:rPr>
        <w:t>, E. (2014). Child food insecurity and the Food Stamp Program: what a difference monthly data make. Social Service Review, 88(2), 322–348.</w:t>
      </w:r>
    </w:p>
    <w:p w14:paraId="3A74191E" w14:textId="77777777" w:rsidR="001A27AE" w:rsidRPr="001A27AE" w:rsidRDefault="001A27AE" w:rsidP="001A27AE">
      <w:pPr>
        <w:numPr>
          <w:ilvl w:val="0"/>
          <w:numId w:val="3"/>
        </w:num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In a national study of low-income adults, SNAP participants with marginal, low, or very low food security had lower Body Mass Index (BMI). In addition, the probability of obesity was lower among SNAP participants experiencing marginal food security. The authors concluded that SNAP participation appears to buffer against obesity among those who are food insecure. </w:t>
      </w:r>
      <w:r w:rsidRPr="001A27AE">
        <w:rPr>
          <w:rFonts w:ascii="Georgia" w:eastAsia="Aptos" w:hAnsi="Georgia" w:cs="Times New Roman"/>
          <w:i/>
          <w:iCs/>
          <w:kern w:val="0"/>
          <w14:ligatures w14:val="none"/>
        </w:rPr>
        <w:t xml:space="preserve">Nguyen, B. T., </w:t>
      </w:r>
      <w:proofErr w:type="spellStart"/>
      <w:r w:rsidRPr="001A27AE">
        <w:rPr>
          <w:rFonts w:ascii="Georgia" w:eastAsia="Aptos" w:hAnsi="Georgia" w:cs="Times New Roman"/>
          <w:i/>
          <w:iCs/>
          <w:kern w:val="0"/>
          <w14:ligatures w14:val="none"/>
        </w:rPr>
        <w:t>Shuval</w:t>
      </w:r>
      <w:proofErr w:type="spellEnd"/>
      <w:r w:rsidRPr="001A27AE">
        <w:rPr>
          <w:rFonts w:ascii="Georgia" w:eastAsia="Aptos" w:hAnsi="Georgia" w:cs="Times New Roman"/>
          <w:i/>
          <w:iCs/>
          <w:kern w:val="0"/>
          <w14:ligatures w14:val="none"/>
        </w:rPr>
        <w:t xml:space="preserve">, K., </w:t>
      </w:r>
      <w:r w:rsidRPr="001A27AE">
        <w:rPr>
          <w:rFonts w:ascii="Georgia" w:eastAsia="Aptos" w:hAnsi="Georgia" w:cs="Times New Roman"/>
          <w:i/>
          <w:iCs/>
          <w:kern w:val="0"/>
          <w14:ligatures w14:val="none"/>
        </w:rPr>
        <w:lastRenderedPageBreak/>
        <w:t>Bertmann, F., &amp; Yaroch, A. L. (2015). The Supplemental Nutrition Assistance Program, food insecurity, dietary quality, and obesity among US adults. American Journal of Public Health, 105(7), 1453–1459.</w:t>
      </w:r>
    </w:p>
    <w:p w14:paraId="12F4729C" w14:textId="77777777" w:rsidR="001A27AE" w:rsidRPr="001A27AE" w:rsidRDefault="001A27AE" w:rsidP="001A27AE">
      <w:pPr>
        <w:numPr>
          <w:ilvl w:val="0"/>
          <w:numId w:val="3"/>
        </w:num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Based on a study of low-income families from a national sample, food-insecure girls participating in SNAP, school lunch, or school breakfast (or all three programs combined) had a lower risk of </w:t>
      </w:r>
      <w:proofErr w:type="gramStart"/>
      <w:r w:rsidRPr="001A27AE">
        <w:rPr>
          <w:rFonts w:ascii="Georgia" w:eastAsia="Aptos" w:hAnsi="Georgia" w:cs="Times New Roman"/>
          <w:kern w:val="0"/>
          <w14:ligatures w14:val="none"/>
        </w:rPr>
        <w:t>overweight</w:t>
      </w:r>
      <w:proofErr w:type="gramEnd"/>
      <w:r w:rsidRPr="001A27AE">
        <w:rPr>
          <w:rFonts w:ascii="Georgia" w:eastAsia="Aptos" w:hAnsi="Georgia" w:cs="Times New Roman"/>
          <w:kern w:val="0"/>
          <w14:ligatures w14:val="none"/>
        </w:rPr>
        <w:t xml:space="preserve"> compared to food-insecure girls from non-participating households. </w:t>
      </w:r>
      <w:r w:rsidRPr="001A27AE">
        <w:rPr>
          <w:rFonts w:ascii="Georgia" w:eastAsia="Aptos" w:hAnsi="Georgia" w:cs="Times New Roman"/>
          <w:i/>
          <w:iCs/>
          <w:kern w:val="0"/>
          <w14:ligatures w14:val="none"/>
        </w:rPr>
        <w:t xml:space="preserve">Jones, S. J., Jahns, L., Laraia, B. A., &amp; Haughton, B. (2003). Lower risk of </w:t>
      </w:r>
      <w:proofErr w:type="gramStart"/>
      <w:r w:rsidRPr="001A27AE">
        <w:rPr>
          <w:rFonts w:ascii="Georgia" w:eastAsia="Aptos" w:hAnsi="Georgia" w:cs="Times New Roman"/>
          <w:i/>
          <w:iCs/>
          <w:kern w:val="0"/>
          <w14:ligatures w14:val="none"/>
        </w:rPr>
        <w:t>overweight</w:t>
      </w:r>
      <w:proofErr w:type="gramEnd"/>
      <w:r w:rsidRPr="001A27AE">
        <w:rPr>
          <w:rFonts w:ascii="Georgia" w:eastAsia="Aptos" w:hAnsi="Georgia" w:cs="Times New Roman"/>
          <w:i/>
          <w:iCs/>
          <w:kern w:val="0"/>
          <w14:ligatures w14:val="none"/>
        </w:rPr>
        <w:t xml:space="preserve"> in school-aged food insecure girls who participate in food assistance: results from the Panel Study of Income Dynamics Child Development Supplement. Archives of Pediatric and Adolescent Medicine, 157(8), 780–784</w:t>
      </w:r>
    </w:p>
    <w:p w14:paraId="46DD94ED" w14:textId="77777777" w:rsidR="001A27AE" w:rsidRPr="001A27AE" w:rsidRDefault="001A27AE" w:rsidP="001A27AE">
      <w:pPr>
        <w:numPr>
          <w:ilvl w:val="0"/>
          <w:numId w:val="3"/>
        </w:numPr>
        <w:spacing w:after="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SNAP participation reduced the probability of being overweight or obese for boys and young girls in a national sample of children and adolescents. </w:t>
      </w:r>
      <w:r w:rsidRPr="001A27AE">
        <w:rPr>
          <w:rFonts w:ascii="Georgia" w:eastAsia="Aptos" w:hAnsi="Georgia" w:cs="Times New Roman"/>
          <w:i/>
          <w:iCs/>
          <w:kern w:val="0"/>
          <w14:ligatures w14:val="none"/>
        </w:rPr>
        <w:t>Schmeiser, M. D. (2012). The impact of long-term participation in the Supplemental Nutrition Assistance Program on child obesity. Health Economics, 21(4), 386–404</w:t>
      </w:r>
    </w:p>
    <w:p w14:paraId="3DA72229" w14:textId="77777777" w:rsidR="001A27AE" w:rsidRPr="001A27AE" w:rsidRDefault="001A27AE" w:rsidP="001A27AE">
      <w:pPr>
        <w:spacing w:after="0" w:line="240" w:lineRule="auto"/>
        <w:rPr>
          <w:rFonts w:ascii="Georgia" w:eastAsia="Aptos" w:hAnsi="Georgia" w:cs="Times New Roman"/>
          <w:kern w:val="0"/>
          <w14:ligatures w14:val="none"/>
        </w:rPr>
      </w:pPr>
    </w:p>
    <w:p w14:paraId="4FD66579" w14:textId="77777777" w:rsidR="001A27AE" w:rsidRPr="001A27AE" w:rsidRDefault="001A27AE" w:rsidP="001A27AE">
      <w:pPr>
        <w:spacing w:after="0" w:line="240" w:lineRule="auto"/>
        <w:rPr>
          <w:rFonts w:ascii="Georgia" w:eastAsia="Aptos" w:hAnsi="Georgia" w:cs="Times New Roman"/>
          <w:b/>
          <w:bCs/>
          <w:kern w:val="0"/>
          <w14:ligatures w14:val="none"/>
        </w:rPr>
      </w:pPr>
      <w:r w:rsidRPr="001A27AE">
        <w:rPr>
          <w:rFonts w:ascii="Georgia" w:eastAsia="Aptos" w:hAnsi="Georgia" w:cs="Times New Roman"/>
          <w:b/>
          <w:bCs/>
          <w:kern w:val="0"/>
          <w14:ligatures w14:val="none"/>
        </w:rPr>
        <w:t xml:space="preserve">For WIC </w:t>
      </w:r>
      <w:r w:rsidRPr="001A27AE">
        <w:rPr>
          <w:rFonts w:ascii="Georgia" w:eastAsia="Aptos" w:hAnsi="Georgia" w:cs="Times New Roman"/>
          <w:b/>
          <w:bCs/>
          <w:kern w:val="0"/>
          <w:highlight w:val="yellow"/>
          <w14:ligatures w14:val="none"/>
        </w:rPr>
        <w:t>[pick some of the information below and tailor for your comment]:</w:t>
      </w:r>
      <w:r w:rsidRPr="001A27AE">
        <w:rPr>
          <w:rFonts w:ascii="Georgia" w:eastAsia="Aptos" w:hAnsi="Georgia" w:cs="Times New Roman"/>
          <w:b/>
          <w:bCs/>
          <w:kern w:val="0"/>
          <w14:ligatures w14:val="none"/>
        </w:rPr>
        <w:t xml:space="preserve"> </w:t>
      </w:r>
    </w:p>
    <w:p w14:paraId="6EFF9FFB" w14:textId="77777777" w:rsidR="001A27AE" w:rsidRPr="001A27AE" w:rsidRDefault="001A27AE" w:rsidP="001A27AE">
      <w:pPr>
        <w:numPr>
          <w:ilvl w:val="0"/>
          <w:numId w:val="1"/>
        </w:num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14:ligatures w14:val="none"/>
        </w:rPr>
        <w:t xml:space="preserve">WIC reduces the prevalence of household food insecurity in recipient households with children under 5 years old by at least 20 percent. </w:t>
      </w:r>
      <w:r w:rsidRPr="001A27AE">
        <w:rPr>
          <w:rFonts w:ascii="Georgia" w:eastAsia="Aptos" w:hAnsi="Georgia" w:cs="Times New Roman"/>
          <w:i/>
          <w:iCs/>
          <w:kern w:val="0"/>
          <w14:ligatures w14:val="none"/>
        </w:rPr>
        <w:t>Kreider, B., Pepper, J. V., &amp; Roy, M. (2016). Identifying the effects of WIC on food insecurity among infants and children. Southern Economic Journal, 82(4), 1106–1122</w:t>
      </w:r>
    </w:p>
    <w:p w14:paraId="5FA955E5" w14:textId="77777777" w:rsidR="001A27AE" w:rsidRPr="001A27AE" w:rsidRDefault="001A27AE" w:rsidP="001A27AE">
      <w:pPr>
        <w:numPr>
          <w:ilvl w:val="0"/>
          <w:numId w:val="1"/>
        </w:num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14:ligatures w14:val="none"/>
        </w:rPr>
        <w:t xml:space="preserve">WIC enrollment and greater WIC food package utilization during pregnancy are associated with improved birth outcomes, including lower risk of preterm birth, low birth weight, being small for gestational age, and perinatal death. </w:t>
      </w:r>
      <w:r w:rsidRPr="001A27AE">
        <w:rPr>
          <w:rFonts w:ascii="Georgia" w:eastAsia="Aptos" w:hAnsi="Georgia" w:cs="Times New Roman"/>
          <w:i/>
          <w:iCs/>
          <w:kern w:val="0"/>
          <w14:ligatures w14:val="none"/>
        </w:rPr>
        <w:t xml:space="preserve">Fingar, K. R., Lob, S. H., Dove, M. S., </w:t>
      </w:r>
      <w:proofErr w:type="spellStart"/>
      <w:r w:rsidRPr="001A27AE">
        <w:rPr>
          <w:rFonts w:ascii="Georgia" w:eastAsia="Aptos" w:hAnsi="Georgia" w:cs="Times New Roman"/>
          <w:i/>
          <w:iCs/>
          <w:kern w:val="0"/>
          <w14:ligatures w14:val="none"/>
        </w:rPr>
        <w:t>Gradziel</w:t>
      </w:r>
      <w:proofErr w:type="spellEnd"/>
      <w:r w:rsidRPr="001A27AE">
        <w:rPr>
          <w:rFonts w:ascii="Georgia" w:eastAsia="Aptos" w:hAnsi="Georgia" w:cs="Times New Roman"/>
          <w:i/>
          <w:iCs/>
          <w:kern w:val="0"/>
          <w14:ligatures w14:val="none"/>
        </w:rPr>
        <w:t>, P., &amp; Curtis, M. P. (2017). Reassessing the association between WIC and birth outcomes using a fetuses-at-risk approach. Maternal and Child Health Journal, 21(4), 825–835.</w:t>
      </w:r>
    </w:p>
    <w:p w14:paraId="7E5119D0" w14:textId="77777777" w:rsidR="001A27AE" w:rsidRPr="001A27AE" w:rsidRDefault="001A27AE" w:rsidP="001A27AE">
      <w:pPr>
        <w:numPr>
          <w:ilvl w:val="0"/>
          <w:numId w:val="1"/>
        </w:num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14:ligatures w14:val="none"/>
        </w:rPr>
        <w:t xml:space="preserve">Prenatal and early childhood participation in WIC is associated with stronger cognitive development at 2 years old, and better performance on reading assessments in elementary school. </w:t>
      </w:r>
      <w:r w:rsidRPr="001A27AE">
        <w:rPr>
          <w:rFonts w:ascii="Georgia" w:eastAsia="Aptos" w:hAnsi="Georgia" w:cs="Times New Roman"/>
          <w:i/>
          <w:iCs/>
          <w:kern w:val="0"/>
          <w14:ligatures w14:val="none"/>
        </w:rPr>
        <w:t>Jackson, M. (2015). Early childhood WIC participation, cognitive development and academic achievement. Social Science and Medicine, 126, 145–153.</w:t>
      </w:r>
    </w:p>
    <w:p w14:paraId="358A2ADF" w14:textId="77777777" w:rsidR="009952E7" w:rsidRPr="009952E7" w:rsidRDefault="001A27AE" w:rsidP="001A27AE">
      <w:pPr>
        <w:numPr>
          <w:ilvl w:val="0"/>
          <w:numId w:val="1"/>
        </w:numPr>
        <w:spacing w:after="0" w:line="240" w:lineRule="auto"/>
        <w:contextualSpacing/>
        <w:rPr>
          <w:rFonts w:ascii="Georgia" w:eastAsia="Aptos" w:hAnsi="Georgia" w:cs="Times New Roman"/>
          <w:b/>
          <w:bCs/>
          <w:kern w:val="0"/>
          <w14:ligatures w14:val="none"/>
        </w:rPr>
      </w:pPr>
      <w:r w:rsidRPr="001A27AE">
        <w:rPr>
          <w:rFonts w:ascii="Georgia" w:eastAsia="Aptos" w:hAnsi="Georgia" w:cs="Times New Roman"/>
          <w:color w:val="1B1B1B"/>
          <w:kern w:val="0"/>
          <w14:ligatures w14:val="none"/>
        </w:rPr>
        <w:t xml:space="preserve"> Every $1 in prenatal WIC services saves about $2.48 in medical, educational, and productivity costs over a newborn’s lifetime. </w:t>
      </w:r>
      <w:proofErr w:type="spellStart"/>
      <w:r w:rsidRPr="001A27AE">
        <w:rPr>
          <w:rFonts w:ascii="Georgia" w:eastAsia="Aptos" w:hAnsi="Georgia" w:cs="Times New Roman"/>
          <w:color w:val="1B1B1B"/>
          <w:kern w:val="0"/>
          <w14:ligatures w14:val="none"/>
        </w:rPr>
        <w:t>Nianogo</w:t>
      </w:r>
      <w:proofErr w:type="spellEnd"/>
      <w:r w:rsidRPr="001A27AE">
        <w:rPr>
          <w:rFonts w:ascii="Georgia" w:eastAsia="Aptos" w:hAnsi="Georgia" w:cs="Times New Roman"/>
          <w:color w:val="1B1B1B"/>
          <w:kern w:val="0"/>
          <w14:ligatures w14:val="none"/>
        </w:rPr>
        <w:t xml:space="preserve"> RA, Wang MC, Basurto-Davila R, </w:t>
      </w:r>
      <w:proofErr w:type="spellStart"/>
      <w:r w:rsidRPr="001A27AE">
        <w:rPr>
          <w:rFonts w:ascii="Georgia" w:eastAsia="Aptos" w:hAnsi="Georgia" w:cs="Times New Roman"/>
          <w:color w:val="1B1B1B"/>
          <w:kern w:val="0"/>
          <w14:ligatures w14:val="none"/>
        </w:rPr>
        <w:t>Nobari</w:t>
      </w:r>
      <w:proofErr w:type="spellEnd"/>
      <w:r w:rsidRPr="001A27AE">
        <w:rPr>
          <w:rFonts w:ascii="Georgia" w:eastAsia="Aptos" w:hAnsi="Georgia" w:cs="Times New Roman"/>
          <w:color w:val="1B1B1B"/>
          <w:kern w:val="0"/>
          <w14:ligatures w14:val="none"/>
        </w:rPr>
        <w:t xml:space="preserve"> TZ, </w:t>
      </w:r>
      <w:proofErr w:type="spellStart"/>
      <w:r w:rsidRPr="001A27AE">
        <w:rPr>
          <w:rFonts w:ascii="Georgia" w:eastAsia="Aptos" w:hAnsi="Georgia" w:cs="Times New Roman"/>
          <w:color w:val="1B1B1B"/>
          <w:kern w:val="0"/>
          <w14:ligatures w14:val="none"/>
        </w:rPr>
        <w:t>Prelip</w:t>
      </w:r>
      <w:proofErr w:type="spellEnd"/>
      <w:r w:rsidRPr="001A27AE">
        <w:rPr>
          <w:rFonts w:ascii="Georgia" w:eastAsia="Aptos" w:hAnsi="Georgia" w:cs="Times New Roman"/>
          <w:color w:val="1B1B1B"/>
          <w:kern w:val="0"/>
          <w14:ligatures w14:val="none"/>
        </w:rPr>
        <w:t xml:space="preserve"> M, Arah OA, Whaley SE. (2019). </w:t>
      </w:r>
      <w:r w:rsidRPr="001A27AE">
        <w:rPr>
          <w:rFonts w:ascii="Georgia" w:eastAsia="Aptos" w:hAnsi="Georgia" w:cs="Times New Roman"/>
          <w:i/>
          <w:iCs/>
          <w:color w:val="1B1B1B"/>
          <w:kern w:val="0"/>
          <w14:ligatures w14:val="none"/>
        </w:rPr>
        <w:t>Economic evaluation of California prenatal participation in the Special Supplemental Nutrition Program for Women, Infants and Children (WIC) to prevent preterm birth. Prev Med.</w:t>
      </w:r>
      <w:r w:rsidRPr="001A27AE">
        <w:rPr>
          <w:rFonts w:ascii="Georgia" w:eastAsia="Aptos" w:hAnsi="Georgia" w:cs="Times New Roman"/>
          <w:color w:val="1B1B1B"/>
          <w:kern w:val="0"/>
          <w14:ligatures w14:val="none"/>
        </w:rPr>
        <w:t xml:space="preserve">124, 42-49. </w:t>
      </w:r>
    </w:p>
    <w:p w14:paraId="38E4B2A1" w14:textId="77777777" w:rsidR="009952E7" w:rsidRPr="009952E7" w:rsidRDefault="009952E7" w:rsidP="009952E7">
      <w:pPr>
        <w:spacing w:after="0" w:line="240" w:lineRule="auto"/>
        <w:contextualSpacing/>
        <w:rPr>
          <w:rFonts w:ascii="Georgia" w:eastAsia="Aptos" w:hAnsi="Georgia" w:cs="Times New Roman"/>
          <w:b/>
          <w:bCs/>
          <w:kern w:val="0"/>
          <w14:ligatures w14:val="none"/>
        </w:rPr>
      </w:pPr>
    </w:p>
    <w:p w14:paraId="085848C9" w14:textId="70C7A176" w:rsidR="001A27AE" w:rsidRDefault="001A27AE" w:rsidP="009952E7">
      <w:pPr>
        <w:spacing w:after="0" w:line="240" w:lineRule="auto"/>
        <w:ind w:left="360"/>
        <w:contextualSpacing/>
        <w:rPr>
          <w:rFonts w:ascii="Georgia" w:eastAsia="Aptos" w:hAnsi="Georgia" w:cs="Times New Roman"/>
          <w:b/>
          <w:bCs/>
          <w:kern w:val="0"/>
          <w14:ligatures w14:val="none"/>
        </w:rPr>
      </w:pPr>
      <w:r w:rsidRPr="001A27AE">
        <w:rPr>
          <w:rFonts w:ascii="Georgia" w:eastAsia="Aptos" w:hAnsi="Georgia" w:cs="Times New Roman"/>
          <w:b/>
          <w:bCs/>
          <w:kern w:val="0"/>
          <w14:ligatures w14:val="none"/>
        </w:rPr>
        <w:t xml:space="preserve">For the Child Nutrition Programs (including School Meals, Summer EBT, CACFP, and Summer and Afterschool Meals) </w:t>
      </w:r>
      <w:r w:rsidRPr="001A27AE">
        <w:rPr>
          <w:rFonts w:ascii="Georgia" w:eastAsia="Aptos" w:hAnsi="Georgia" w:cs="Times New Roman"/>
          <w:b/>
          <w:bCs/>
          <w:kern w:val="0"/>
          <w:highlight w:val="yellow"/>
          <w14:ligatures w14:val="none"/>
        </w:rPr>
        <w:t>[pick some of the information below and tailor for your comment]:</w:t>
      </w:r>
      <w:r w:rsidRPr="001A27AE">
        <w:rPr>
          <w:rFonts w:ascii="Georgia" w:eastAsia="Aptos" w:hAnsi="Georgia" w:cs="Times New Roman"/>
          <w:b/>
          <w:bCs/>
          <w:kern w:val="0"/>
          <w14:ligatures w14:val="none"/>
        </w:rPr>
        <w:t xml:space="preserve"> </w:t>
      </w:r>
    </w:p>
    <w:p w14:paraId="425C61B1" w14:textId="77777777" w:rsidR="009952E7" w:rsidRPr="001A27AE" w:rsidRDefault="009952E7" w:rsidP="009952E7">
      <w:pPr>
        <w:spacing w:after="0" w:line="240" w:lineRule="auto"/>
        <w:ind w:left="360"/>
        <w:contextualSpacing/>
        <w:rPr>
          <w:rFonts w:ascii="Georgia" w:eastAsia="Aptos" w:hAnsi="Georgia" w:cs="Times New Roman"/>
          <w:b/>
          <w:bCs/>
          <w:kern w:val="0"/>
          <w14:ligatures w14:val="none"/>
        </w:rPr>
      </w:pPr>
    </w:p>
    <w:p w14:paraId="3DED0330" w14:textId="77777777" w:rsidR="001A27AE" w:rsidRPr="001A27AE" w:rsidRDefault="001A27AE" w:rsidP="001A27AE">
      <w:pPr>
        <w:numPr>
          <w:ilvl w:val="0"/>
          <w:numId w:val="4"/>
        </w:num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14:ligatures w14:val="none"/>
        </w:rPr>
        <w:t xml:space="preserve">Access to school breakfast decreases the risk of marginal food security and breakfast skipping, especially for low-income children. </w:t>
      </w:r>
      <w:proofErr w:type="spellStart"/>
      <w:r w:rsidRPr="001A27AE">
        <w:rPr>
          <w:rFonts w:ascii="Georgia" w:eastAsia="Aptos" w:hAnsi="Georgia" w:cs="Times New Roman"/>
          <w:i/>
          <w:iCs/>
          <w:kern w:val="0"/>
          <w14:ligatures w14:val="none"/>
        </w:rPr>
        <w:t>Bartfeld</w:t>
      </w:r>
      <w:proofErr w:type="spellEnd"/>
      <w:r w:rsidRPr="001A27AE">
        <w:rPr>
          <w:rFonts w:ascii="Georgia" w:eastAsia="Aptos" w:hAnsi="Georgia" w:cs="Times New Roman"/>
          <w:i/>
          <w:iCs/>
          <w:kern w:val="0"/>
          <w14:ligatures w14:val="none"/>
        </w:rPr>
        <w:t xml:space="preserve">, J. S., &amp; Ahn, H. M. (2011). The School Breakfast Program strengthens household food security </w:t>
      </w:r>
      <w:r w:rsidRPr="001A27AE">
        <w:rPr>
          <w:rFonts w:ascii="Georgia" w:eastAsia="Aptos" w:hAnsi="Georgia" w:cs="Times New Roman"/>
          <w:i/>
          <w:iCs/>
          <w:kern w:val="0"/>
          <w14:ligatures w14:val="none"/>
        </w:rPr>
        <w:lastRenderedPageBreak/>
        <w:t>among low-income households with elementary school children. Journal of Nutrition, 141(3), 470–475.</w:t>
      </w:r>
    </w:p>
    <w:p w14:paraId="48A01CCE" w14:textId="77777777" w:rsidR="001A27AE" w:rsidRPr="001A27AE" w:rsidRDefault="001A27AE" w:rsidP="001A27AE">
      <w:pPr>
        <w:numPr>
          <w:ilvl w:val="0"/>
          <w:numId w:val="4"/>
        </w:num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14:ligatures w14:val="none"/>
        </w:rPr>
        <w:t xml:space="preserve">NSLP participation is associated with a 14 percent reduction in the risk of food insufficiency among households with at least one child receiving a free or reduced-price school lunch. </w:t>
      </w:r>
      <w:r w:rsidRPr="001A27AE">
        <w:rPr>
          <w:rFonts w:ascii="Georgia" w:eastAsia="Aptos" w:hAnsi="Georgia" w:cs="Times New Roman"/>
          <w:i/>
          <w:iCs/>
          <w:kern w:val="0"/>
          <w14:ligatures w14:val="none"/>
        </w:rPr>
        <w:t>Huang, J., &amp; Barnidge, E., (2016). Low-income children’s participation in the National School Lunch Program and household food insufficiency. Social Science &amp; Medicine, 150, 8–14.</w:t>
      </w:r>
    </w:p>
    <w:p w14:paraId="417DF8E8" w14:textId="77777777" w:rsidR="001A27AE" w:rsidRPr="001A27AE" w:rsidRDefault="001A27AE" w:rsidP="001A27AE">
      <w:pPr>
        <w:numPr>
          <w:ilvl w:val="0"/>
          <w:numId w:val="4"/>
        </w:num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14:ligatures w14:val="none"/>
        </w:rPr>
        <w:t xml:space="preserve">Rates of food insecurity and food insufficiency among children are higher in the summer — a time when students do not have access to the school meal programs available during the academic year. Several studies demonstrate that greater summer meal availability or accessibility has beneficial effects on food insecurity. </w:t>
      </w:r>
      <w:r w:rsidRPr="001A27AE">
        <w:rPr>
          <w:rFonts w:ascii="Georgia" w:eastAsia="Aptos" w:hAnsi="Georgia" w:cs="Times New Roman"/>
          <w:i/>
          <w:iCs/>
          <w:kern w:val="0"/>
          <w14:ligatures w14:val="none"/>
        </w:rPr>
        <w:t>Miller, D. P. (2016). Accessibility of summer meals and the food insecurity of low-income households with children. Public Health Nutrition, 19(11), 2079–22089.</w:t>
      </w:r>
    </w:p>
    <w:p w14:paraId="18C2AF9B" w14:textId="77777777" w:rsidR="001A27AE" w:rsidRPr="001A27AE" w:rsidRDefault="001A27AE" w:rsidP="001A27AE">
      <w:pPr>
        <w:numPr>
          <w:ilvl w:val="0"/>
          <w:numId w:val="4"/>
        </w:num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14:ligatures w14:val="none"/>
        </w:rPr>
        <w:t xml:space="preserve">Childcare sites participating in CACFP, especially Head Start centers, serve more fruits, vegetables, and milk, and fewer sweetened beverages, sweets, and snack foods than non-participating </w:t>
      </w:r>
      <w:proofErr w:type="gramStart"/>
      <w:r w:rsidRPr="001A27AE">
        <w:rPr>
          <w:rFonts w:ascii="Georgia" w:eastAsia="Aptos" w:hAnsi="Georgia" w:cs="Times New Roman"/>
          <w:kern w:val="0"/>
          <w14:ligatures w14:val="none"/>
        </w:rPr>
        <w:t>child care</w:t>
      </w:r>
      <w:proofErr w:type="gramEnd"/>
      <w:r w:rsidRPr="001A27AE">
        <w:rPr>
          <w:rFonts w:ascii="Georgia" w:eastAsia="Aptos" w:hAnsi="Georgia" w:cs="Times New Roman"/>
          <w:kern w:val="0"/>
          <w14:ligatures w14:val="none"/>
        </w:rPr>
        <w:t xml:space="preserve"> sites. Ritchie, L. D., Boyle, M., Chandran, K., Spector, P., Whaley, S. E., James, P., Samuels, S., Hecht, K., &amp; Crawford, P. (2012). Participation in the Child and Adult Care Food Program is associated with more nutritious foods and beverages in </w:t>
      </w:r>
      <w:proofErr w:type="gramStart"/>
      <w:r w:rsidRPr="001A27AE">
        <w:rPr>
          <w:rFonts w:ascii="Georgia" w:eastAsia="Aptos" w:hAnsi="Georgia" w:cs="Times New Roman"/>
          <w:kern w:val="0"/>
          <w14:ligatures w14:val="none"/>
        </w:rPr>
        <w:t>child care</w:t>
      </w:r>
      <w:proofErr w:type="gramEnd"/>
      <w:r w:rsidRPr="001A27AE">
        <w:rPr>
          <w:rFonts w:ascii="Georgia" w:eastAsia="Aptos" w:hAnsi="Georgia" w:cs="Times New Roman"/>
          <w:kern w:val="0"/>
          <w14:ligatures w14:val="none"/>
        </w:rPr>
        <w:t>. Childhood Obesity, 8(3), 224–229.</w:t>
      </w:r>
    </w:p>
    <w:p w14:paraId="7FD7802E" w14:textId="77777777" w:rsidR="001A27AE" w:rsidRPr="001A27AE" w:rsidRDefault="001A27AE" w:rsidP="001A27AE">
      <w:pPr>
        <w:spacing w:after="0" w:line="240" w:lineRule="auto"/>
        <w:rPr>
          <w:rFonts w:ascii="Georgia" w:eastAsia="Aptos" w:hAnsi="Georgia" w:cs="Times New Roman"/>
          <w:kern w:val="0"/>
          <w14:ligatures w14:val="none"/>
        </w:rPr>
      </w:pPr>
    </w:p>
    <w:p w14:paraId="095D71BB" w14:textId="77777777" w:rsidR="001A27AE" w:rsidRDefault="001A27AE" w:rsidP="001A27AE">
      <w:pPr>
        <w:spacing w:before="240" w:after="240" w:line="240" w:lineRule="auto"/>
        <w:contextualSpacing/>
        <w:rPr>
          <w:rFonts w:ascii="Georgia" w:eastAsia="Aptos" w:hAnsi="Georgia" w:cs="Times New Roman"/>
          <w:kern w:val="0"/>
          <w14:ligatures w14:val="none"/>
        </w:rPr>
      </w:pPr>
      <w:r w:rsidRPr="001A27AE">
        <w:rPr>
          <w:rFonts w:ascii="Georgia" w:eastAsia="Aptos" w:hAnsi="Georgia" w:cs="Times New Roman"/>
          <w:kern w:val="0"/>
          <w14:ligatures w14:val="none"/>
        </w:rPr>
        <w:t>Taken together, the evidence clearly demonstrates that federal nutrition programs promote health, learning, and long-term economic mobility. A rule that deters families from accessing these benefits, including families with U.S.-citizen children, would undermine these gains and inflict lasting harm on families and communities nationwide.</w:t>
      </w:r>
    </w:p>
    <w:p w14:paraId="7E94366F" w14:textId="77777777" w:rsidR="009952E7" w:rsidRPr="001A27AE" w:rsidRDefault="009952E7" w:rsidP="001A27AE">
      <w:pPr>
        <w:spacing w:before="240" w:after="240" w:line="240" w:lineRule="auto"/>
        <w:contextualSpacing/>
        <w:rPr>
          <w:rFonts w:ascii="Georgia" w:eastAsia="Aptos" w:hAnsi="Georgia" w:cs="Times New Roman"/>
          <w:kern w:val="0"/>
          <w14:ligatures w14:val="none"/>
        </w:rPr>
      </w:pPr>
    </w:p>
    <w:p w14:paraId="60E0C0B7" w14:textId="77777777" w:rsidR="001A27AE" w:rsidRDefault="001A27AE" w:rsidP="001A27AE">
      <w:pPr>
        <w:numPr>
          <w:ilvl w:val="0"/>
          <w:numId w:val="2"/>
        </w:numPr>
        <w:spacing w:before="240" w:after="240" w:line="240" w:lineRule="auto"/>
        <w:contextualSpacing/>
        <w:rPr>
          <w:rFonts w:ascii="Georgia" w:eastAsia="Aptos" w:hAnsi="Georgia" w:cs="Times New Roman"/>
          <w:b/>
          <w:bCs/>
          <w:kern w:val="0"/>
          <w14:ligatures w14:val="none"/>
        </w:rPr>
      </w:pPr>
      <w:r w:rsidRPr="001A27AE">
        <w:rPr>
          <w:rFonts w:ascii="Georgia" w:eastAsia="Aptos" w:hAnsi="Georgia" w:cs="Times New Roman"/>
          <w:b/>
          <w:bCs/>
          <w:kern w:val="0"/>
          <w14:ligatures w14:val="none"/>
        </w:rPr>
        <w:t xml:space="preserve">The harms of the proposed rule would amount to a substantial cost shift to states and localities. </w:t>
      </w:r>
    </w:p>
    <w:p w14:paraId="74A8BBB7" w14:textId="082A00CA" w:rsidR="009952E7" w:rsidRPr="001A27AE" w:rsidRDefault="009952E7" w:rsidP="009952E7">
      <w:pPr>
        <w:spacing w:before="240" w:after="240" w:line="240" w:lineRule="auto"/>
        <w:contextualSpacing/>
        <w:rPr>
          <w:rFonts w:ascii="Georgia" w:eastAsia="Aptos" w:hAnsi="Georgia" w:cs="Times New Roman"/>
          <w:b/>
          <w:bCs/>
          <w:kern w:val="0"/>
          <w14:ligatures w14:val="none"/>
        </w:rPr>
      </w:pPr>
    </w:p>
    <w:p w14:paraId="294E05A6"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When federal policy drives eligible families to withdraw from SNAP, WIC, School Meals, Medicaid, or other essential programs, the need for food, housing, and health care does not disappear. Instead, the financial responsibility shifts to state, county, and municipal governments, which must fill gaps previously covered by federal funds. This dynamic creates an unsustainable burden on state and local budgets and diverts resources from other critical services. The aftermath of the 1996 Personal Responsibility and Work Opportunity Reconciliation Act (PRWORA), which eliminated SNAP eligibility for many legal immigrants, illustrates this clearly: several states used state dollars to provide limited food assistance, but these stop-gap measures were neither comprehensive nor sustainable.</w:t>
      </w:r>
      <w:r w:rsidRPr="001A27AE">
        <w:rPr>
          <w:rFonts w:ascii="Georgia" w:eastAsia="Aptos" w:hAnsi="Georgia" w:cs="Times New Roman"/>
          <w:kern w:val="0"/>
          <w:vertAlign w:val="superscript"/>
          <w14:ligatures w14:val="none"/>
        </w:rPr>
        <w:footnoteReference w:id="5"/>
      </w:r>
      <w:r w:rsidRPr="001A27AE">
        <w:rPr>
          <w:rFonts w:ascii="Georgia" w:eastAsia="Aptos" w:hAnsi="Georgia" w:cs="Times New Roman"/>
          <w:kern w:val="0"/>
          <w:vertAlign w:val="superscript"/>
          <w14:ligatures w14:val="none"/>
        </w:rPr>
        <w:footnoteReference w:id="6"/>
      </w:r>
      <w:r w:rsidRPr="001A27AE">
        <w:rPr>
          <w:rFonts w:ascii="Georgia" w:eastAsia="Aptos" w:hAnsi="Georgia" w:cs="Times New Roman"/>
          <w:kern w:val="0"/>
          <w14:ligatures w14:val="none"/>
        </w:rPr>
        <w:t xml:space="preserve"> The proposed rule would force states and localities to confront similar, </w:t>
      </w:r>
      <w:r w:rsidRPr="001A27AE">
        <w:rPr>
          <w:rFonts w:ascii="Georgia" w:eastAsia="Aptos" w:hAnsi="Georgia" w:cs="Times New Roman"/>
          <w:kern w:val="0"/>
          <w14:ligatures w14:val="none"/>
        </w:rPr>
        <w:lastRenderedPageBreak/>
        <w:t>and far larger, costs today, compounded by harms to health, food security, education, and family well-being resulting from the loss of benefits.</w:t>
      </w:r>
    </w:p>
    <w:p w14:paraId="313B6AA0"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These pressures occur at a moment when states are already facing the most significant federal disinvestment in core public benefits in history. Sweeping changes to SNAP under </w:t>
      </w:r>
      <w:proofErr w:type="gramStart"/>
      <w:r w:rsidRPr="001A27AE">
        <w:rPr>
          <w:rFonts w:ascii="Georgia" w:eastAsia="Aptos" w:hAnsi="Georgia" w:cs="Times New Roman"/>
          <w:kern w:val="0"/>
          <w14:ligatures w14:val="none"/>
        </w:rPr>
        <w:t>the July</w:t>
      </w:r>
      <w:proofErr w:type="gramEnd"/>
      <w:r w:rsidRPr="001A27AE">
        <w:rPr>
          <w:rFonts w:ascii="Georgia" w:eastAsia="Aptos" w:hAnsi="Georgia" w:cs="Times New Roman"/>
          <w:kern w:val="0"/>
          <w14:ligatures w14:val="none"/>
        </w:rPr>
        <w:t xml:space="preserve"> 4, 2025, budget reconciliation law (H.R. 1, also known as OBBBA) will require states to make difficult and costly decisions.</w:t>
      </w:r>
    </w:p>
    <w:p w14:paraId="4F76543D" w14:textId="77777777" w:rsidR="001A27AE" w:rsidRPr="001A27AE" w:rsidRDefault="001A27AE" w:rsidP="001A27AE">
      <w:pPr>
        <w:spacing w:after="225"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Beginning in FY 2028, states must pay a share of SNAP benefit costs for the first time in the program’s history, tied to payment error rates that reflect administrative complexity rather than fraud, while in FY 2027 the federal match for administrative expenses will fall from 50 percent to 25 percent, tripling states’ required contribution. States must also shoulder the costs of implementing expanded time limits, monitoring additional exempt populations, enforcing new noncitizen eligibility restrictions, making required IT and workload adjustments, and absorbing the loss of SNAP-Ed </w:t>
      </w:r>
      <w:proofErr w:type="gramStart"/>
      <w:r w:rsidRPr="001A27AE">
        <w:rPr>
          <w:rFonts w:ascii="Georgia" w:eastAsia="Aptos" w:hAnsi="Georgia" w:cs="Times New Roman"/>
          <w:kern w:val="0"/>
          <w14:ligatures w14:val="none"/>
        </w:rPr>
        <w:t>funding—all of</w:t>
      </w:r>
      <w:proofErr w:type="gramEnd"/>
      <w:r w:rsidRPr="001A27AE">
        <w:rPr>
          <w:rFonts w:ascii="Georgia" w:eastAsia="Aptos" w:hAnsi="Georgia" w:cs="Times New Roman"/>
          <w:kern w:val="0"/>
          <w14:ligatures w14:val="none"/>
        </w:rPr>
        <w:t xml:space="preserve"> which increase churn, administrative workload, and local demand for emergency food, housing, and health services.</w:t>
      </w:r>
      <w:r w:rsidRPr="001A27AE">
        <w:rPr>
          <w:rFonts w:ascii="Georgia" w:eastAsia="Aptos" w:hAnsi="Georgia" w:cs="Times New Roman"/>
          <w:kern w:val="0"/>
          <w:vertAlign w:val="superscript"/>
          <w14:ligatures w14:val="none"/>
        </w:rPr>
        <w:footnoteReference w:id="7"/>
      </w:r>
    </w:p>
    <w:p w14:paraId="098A9961" w14:textId="77777777" w:rsidR="001A27AE" w:rsidRPr="001A27AE" w:rsidRDefault="001A27AE" w:rsidP="001A27AE">
      <w:pPr>
        <w:spacing w:after="225"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If enacted, this rule will lead to reduced participation in WIC, meaning less funding for critical nutrition benefits, education, and support during a critical time of growth and development. WIC has been proven to reduce health care and educational costs.</w:t>
      </w:r>
      <w:r w:rsidRPr="001A27AE">
        <w:rPr>
          <w:rFonts w:ascii="Georgia" w:eastAsia="Aptos" w:hAnsi="Georgia" w:cs="Times New Roman"/>
          <w:kern w:val="0"/>
          <w:vertAlign w:val="superscript"/>
          <w14:ligatures w14:val="none"/>
        </w:rPr>
        <w:footnoteReference w:id="8"/>
      </w:r>
      <w:r w:rsidRPr="001A27AE">
        <w:rPr>
          <w:rFonts w:ascii="Georgia" w:eastAsia="Aptos" w:hAnsi="Georgia" w:cs="Times New Roman"/>
          <w:kern w:val="0"/>
          <w:vertAlign w:val="superscript"/>
          <w14:ligatures w14:val="none"/>
        </w:rPr>
        <w:t xml:space="preserve"> </w:t>
      </w:r>
      <w:r w:rsidRPr="001A27AE">
        <w:rPr>
          <w:rFonts w:ascii="Georgia" w:eastAsia="Aptos" w:hAnsi="Georgia" w:cs="Times New Roman"/>
          <w:kern w:val="0"/>
          <w14:ligatures w14:val="none"/>
        </w:rPr>
        <w:t xml:space="preserve">If families </w:t>
      </w:r>
      <w:proofErr w:type="gramStart"/>
      <w:r w:rsidRPr="001A27AE">
        <w:rPr>
          <w:rFonts w:ascii="Georgia" w:eastAsia="Aptos" w:hAnsi="Georgia" w:cs="Times New Roman"/>
          <w:kern w:val="0"/>
          <w14:ligatures w14:val="none"/>
        </w:rPr>
        <w:t>are not accessing</w:t>
      </w:r>
      <w:proofErr w:type="gramEnd"/>
      <w:r w:rsidRPr="001A27AE">
        <w:rPr>
          <w:rFonts w:ascii="Georgia" w:eastAsia="Aptos" w:hAnsi="Georgia" w:cs="Times New Roman"/>
          <w:kern w:val="0"/>
          <w14:ligatures w14:val="none"/>
        </w:rPr>
        <w:t xml:space="preserve"> WIC, it will have an enormous detrimental impact on their health and well-being having </w:t>
      </w:r>
      <w:proofErr w:type="gramStart"/>
      <w:r w:rsidRPr="001A27AE">
        <w:rPr>
          <w:rFonts w:ascii="Georgia" w:eastAsia="Aptos" w:hAnsi="Georgia" w:cs="Times New Roman"/>
          <w:kern w:val="0"/>
          <w14:ligatures w14:val="none"/>
        </w:rPr>
        <w:t>long term</w:t>
      </w:r>
      <w:proofErr w:type="gramEnd"/>
      <w:r w:rsidRPr="001A27AE">
        <w:rPr>
          <w:rFonts w:ascii="Georgia" w:eastAsia="Aptos" w:hAnsi="Georgia" w:cs="Times New Roman"/>
          <w:kern w:val="0"/>
          <w14:ligatures w14:val="none"/>
        </w:rPr>
        <w:t xml:space="preserve"> impacts on their educational outcomes and future health care needs. Changes to the public charge rule also could significantly reduce participation in free and reduced-price school meals, creating both educational and financial consequences for schools. Fear or confusion about whether school meal benefits count against immigration status would lead many eligible immigrant families to avoid applying, weakening direct certification and shrinking the number of schools eligible for the Community Eligibility Provision. Lower participation would reduce federal reimbursements, erode economies of scale, and increase administrative burdens as more applications must be processed.  </w:t>
      </w:r>
    </w:p>
    <w:p w14:paraId="252AE353" w14:textId="77777777" w:rsidR="001A27AE" w:rsidRPr="001A27AE" w:rsidRDefault="001A27AE" w:rsidP="001A27AE">
      <w:pPr>
        <w:spacing w:after="225"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These provisions collectively shift billions in federal responsibilities onto already strained state and local budgets, magnifying the fiscal and operational pressures created by the proposed rule and further destabilizing the safety-net infrastructure upon which families and communities rely.</w:t>
      </w:r>
    </w:p>
    <w:p w14:paraId="795FACC2" w14:textId="77777777" w:rsidR="001A27AE" w:rsidRDefault="001A27AE" w:rsidP="001A27AE">
      <w:pPr>
        <w:numPr>
          <w:ilvl w:val="0"/>
          <w:numId w:val="2"/>
        </w:numPr>
        <w:spacing w:before="240" w:after="240" w:line="240" w:lineRule="auto"/>
        <w:contextualSpacing/>
        <w:rPr>
          <w:rFonts w:ascii="Georgia" w:eastAsia="Aptos" w:hAnsi="Georgia" w:cs="Times New Roman"/>
          <w:kern w:val="0"/>
          <w14:ligatures w14:val="none"/>
        </w:rPr>
      </w:pPr>
      <w:r w:rsidRPr="001A27AE">
        <w:rPr>
          <w:rFonts w:ascii="Georgia" w:eastAsia="Aptos" w:hAnsi="Georgia" w:cs="Times New Roman"/>
          <w:b/>
          <w:bCs/>
          <w:kern w:val="0"/>
          <w14:ligatures w14:val="none"/>
        </w:rPr>
        <w:lastRenderedPageBreak/>
        <w:t>The proposed rule would create widespread confusion among immigrant families, government agencies, schools, health and social service providers, charitable organizations, and advocates.</w:t>
      </w:r>
      <w:r w:rsidRPr="001A27AE">
        <w:rPr>
          <w:rFonts w:ascii="Georgia" w:eastAsia="Aptos" w:hAnsi="Georgia" w:cs="Times New Roman"/>
          <w:kern w:val="0"/>
          <w14:ligatures w14:val="none"/>
        </w:rPr>
        <w:t xml:space="preserve"> </w:t>
      </w:r>
    </w:p>
    <w:p w14:paraId="244121ED" w14:textId="77777777" w:rsidR="009952E7" w:rsidRPr="001A27AE" w:rsidRDefault="009952E7" w:rsidP="009952E7">
      <w:pPr>
        <w:spacing w:before="240" w:after="240" w:line="240" w:lineRule="auto"/>
        <w:contextualSpacing/>
        <w:rPr>
          <w:rFonts w:ascii="Georgia" w:eastAsia="Aptos" w:hAnsi="Georgia" w:cs="Times New Roman"/>
          <w:kern w:val="0"/>
          <w14:ligatures w14:val="none"/>
        </w:rPr>
      </w:pPr>
    </w:p>
    <w:p w14:paraId="667384DC"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Families — whether citizens, lawful permanent residents, or immigrants with lawful status — would struggle to understand whether accessing essential benefits could jeopardize their own or a loved one’s immigration status. At the same time, the agencies and community organizations that administer SNAP, WIC, School Meals, Medicaid, and other safety-net programs </w:t>
      </w:r>
      <w:proofErr w:type="gramStart"/>
      <w:r w:rsidRPr="001A27AE">
        <w:rPr>
          <w:rFonts w:ascii="Georgia" w:eastAsia="Aptos" w:hAnsi="Georgia" w:cs="Times New Roman"/>
          <w:kern w:val="0"/>
          <w14:ligatures w14:val="none"/>
        </w:rPr>
        <w:t>would lack</w:t>
      </w:r>
      <w:proofErr w:type="gramEnd"/>
      <w:r w:rsidRPr="001A27AE">
        <w:rPr>
          <w:rFonts w:ascii="Georgia" w:eastAsia="Aptos" w:hAnsi="Georgia" w:cs="Times New Roman"/>
          <w:kern w:val="0"/>
          <w14:ligatures w14:val="none"/>
        </w:rPr>
        <w:t xml:space="preserve"> clear guidance on how to interpret the rule or how to advise families, placing additional strain on already overextended provider networks.</w:t>
      </w:r>
    </w:p>
    <w:p w14:paraId="78BCEBD2"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highlight w:val="yellow"/>
          <w14:ligatures w14:val="none"/>
        </w:rPr>
        <w:t>[Insert examples]</w:t>
      </w:r>
    </w:p>
    <w:p w14:paraId="02AFD9D1"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 xml:space="preserve">This uncertainty would predictably lead many families to </w:t>
      </w:r>
      <w:proofErr w:type="gramStart"/>
      <w:r w:rsidRPr="001A27AE">
        <w:rPr>
          <w:rFonts w:ascii="Georgia" w:eastAsia="Aptos" w:hAnsi="Georgia" w:cs="Times New Roman"/>
          <w:kern w:val="0"/>
          <w14:ligatures w14:val="none"/>
        </w:rPr>
        <w:t>forgo</w:t>
      </w:r>
      <w:proofErr w:type="gramEnd"/>
      <w:r w:rsidRPr="001A27AE">
        <w:rPr>
          <w:rFonts w:ascii="Georgia" w:eastAsia="Aptos" w:hAnsi="Georgia" w:cs="Times New Roman"/>
          <w:kern w:val="0"/>
          <w14:ligatures w14:val="none"/>
        </w:rPr>
        <w:t xml:space="preserve"> benefits for which they are fully eligible, not because of legal restrictions but because of fear or misinformation. Historical evidence demonstrates that public charge policies reliably create large chilling effects even when eligibility rules remain unchanged.</w:t>
      </w:r>
      <w:r w:rsidRPr="001A27AE">
        <w:rPr>
          <w:rFonts w:ascii="Georgia" w:eastAsia="Aptos" w:hAnsi="Georgia" w:cs="Times New Roman"/>
          <w:kern w:val="0"/>
          <w:vertAlign w:val="superscript"/>
          <w14:ligatures w14:val="none"/>
        </w:rPr>
        <w:footnoteReference w:id="9"/>
      </w:r>
      <w:r w:rsidRPr="001A27AE">
        <w:rPr>
          <w:rFonts w:ascii="Georgia" w:eastAsia="Aptos" w:hAnsi="Georgia" w:cs="Times New Roman"/>
          <w:kern w:val="0"/>
          <w14:ligatures w14:val="none"/>
        </w:rPr>
        <w:t xml:space="preserve"> After PRWORA in 1996, participation fell sharply among groups whose eligibility did not change: refugee use of food stamps dropped by 60 percent between 1994 and 1998,</w:t>
      </w:r>
      <w:r w:rsidRPr="001A27AE">
        <w:rPr>
          <w:rFonts w:ascii="Georgia" w:eastAsia="Aptos" w:hAnsi="Georgia" w:cs="Times New Roman"/>
          <w:kern w:val="0"/>
          <w:vertAlign w:val="superscript"/>
          <w14:ligatures w14:val="none"/>
        </w:rPr>
        <w:footnoteReference w:id="10"/>
      </w:r>
      <w:r w:rsidRPr="001A27AE">
        <w:rPr>
          <w:rFonts w:ascii="Georgia" w:eastAsia="Aptos" w:hAnsi="Georgia" w:cs="Times New Roman"/>
          <w:kern w:val="0"/>
          <w14:ligatures w14:val="none"/>
        </w:rPr>
        <w:t xml:space="preserve"> and SNAP participation among U.S.-citizen children with a noncitizen parent declined by 53 percent.</w:t>
      </w:r>
      <w:r w:rsidRPr="001A27AE">
        <w:rPr>
          <w:rFonts w:ascii="Georgia" w:eastAsia="Aptos" w:hAnsi="Georgia" w:cs="Times New Roman"/>
          <w:kern w:val="0"/>
          <w:vertAlign w:val="superscript"/>
          <w14:ligatures w14:val="none"/>
        </w:rPr>
        <w:footnoteReference w:id="11"/>
      </w:r>
      <w:r w:rsidRPr="001A27AE">
        <w:rPr>
          <w:rFonts w:ascii="Georgia" w:eastAsia="Aptos" w:hAnsi="Georgia" w:cs="Times New Roman"/>
          <w:kern w:val="0"/>
          <w14:ligatures w14:val="none"/>
        </w:rPr>
        <w:t xml:space="preserve"> By 1999, only 40 percent of eligible citizen children in mixed-status households participated in SNAP, compared with 70 percent of all eligible children.</w:t>
      </w:r>
      <w:r w:rsidRPr="001A27AE">
        <w:rPr>
          <w:rFonts w:ascii="Georgia" w:eastAsia="Aptos" w:hAnsi="Georgia" w:cs="Times New Roman"/>
          <w:kern w:val="0"/>
          <w:vertAlign w:val="superscript"/>
          <w14:ligatures w14:val="none"/>
        </w:rPr>
        <w:footnoteReference w:id="12"/>
      </w:r>
      <w:r w:rsidRPr="001A27AE">
        <w:rPr>
          <w:rFonts w:ascii="Georgia" w:eastAsia="Aptos" w:hAnsi="Georgia" w:cs="Times New Roman"/>
          <w:kern w:val="0"/>
          <w14:ligatures w14:val="none"/>
        </w:rPr>
        <w:t xml:space="preserve"> </w:t>
      </w:r>
    </w:p>
    <w:p w14:paraId="2F43EA96"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Similar patterns emerged during the 2018–2019 public charge rulemaking. Surveys showed that immigrant families avoided non-cash benefits because of concerns about green card eligibility, with the largest effects among low-income households and families with children.</w:t>
      </w:r>
      <w:r w:rsidRPr="001A27AE">
        <w:rPr>
          <w:rFonts w:ascii="Georgia" w:eastAsia="Aptos" w:hAnsi="Georgia" w:cs="Times New Roman"/>
          <w:kern w:val="0"/>
          <w:vertAlign w:val="superscript"/>
          <w14:ligatures w14:val="none"/>
        </w:rPr>
        <w:footnoteReference w:id="13"/>
      </w:r>
      <w:r w:rsidRPr="001A27AE">
        <w:rPr>
          <w:rFonts w:ascii="Georgia" w:eastAsia="Aptos" w:hAnsi="Georgia" w:cs="Times New Roman"/>
          <w:kern w:val="0"/>
          <w14:ligatures w14:val="none"/>
        </w:rPr>
        <w:t xml:space="preserve">  Combined, this evidence demonstrates that public charge policies, regardless of their precise design, produce broad and lasting deterrent effects that harm family health, food security, educational outcomes, and overall well-being.</w:t>
      </w:r>
    </w:p>
    <w:p w14:paraId="4637BA39" w14:textId="7A72BA61" w:rsidR="009952E7" w:rsidRDefault="001A27AE" w:rsidP="009952E7">
      <w:pPr>
        <w:numPr>
          <w:ilvl w:val="0"/>
          <w:numId w:val="2"/>
        </w:numPr>
        <w:spacing w:before="240" w:after="240" w:line="240" w:lineRule="auto"/>
        <w:contextualSpacing/>
        <w:rPr>
          <w:rFonts w:ascii="Georgia" w:eastAsia="Aptos" w:hAnsi="Georgia" w:cs="Times New Roman"/>
          <w:kern w:val="0"/>
          <w14:ligatures w14:val="none"/>
        </w:rPr>
      </w:pPr>
      <w:r w:rsidRPr="001A27AE">
        <w:rPr>
          <w:rFonts w:ascii="Georgia" w:eastAsia="Aptos" w:hAnsi="Georgia" w:cs="Times New Roman"/>
          <w:b/>
          <w:bCs/>
          <w:kern w:val="0"/>
          <w14:ligatures w14:val="none"/>
        </w:rPr>
        <w:t>The proposed rule would create significant upstream and downstream harm for state and local economies, businesses of all sizes, and households.</w:t>
      </w:r>
      <w:r w:rsidRPr="001A27AE">
        <w:rPr>
          <w:rFonts w:ascii="Georgia" w:eastAsia="Aptos" w:hAnsi="Georgia" w:cs="Times New Roman"/>
          <w:kern w:val="0"/>
          <w14:ligatures w14:val="none"/>
        </w:rPr>
        <w:t xml:space="preserve"> </w:t>
      </w:r>
    </w:p>
    <w:p w14:paraId="2639C2A0" w14:textId="540D7330" w:rsidR="009952E7" w:rsidRPr="009952E7" w:rsidRDefault="009952E7" w:rsidP="009952E7">
      <w:pPr>
        <w:spacing w:before="240" w:after="240" w:line="240" w:lineRule="auto"/>
        <w:ind w:left="360"/>
        <w:contextualSpacing/>
        <w:rPr>
          <w:rFonts w:ascii="Georgia" w:eastAsia="Aptos" w:hAnsi="Georgia" w:cs="Times New Roman"/>
          <w:kern w:val="0"/>
          <w14:ligatures w14:val="none"/>
        </w:rPr>
      </w:pPr>
    </w:p>
    <w:p w14:paraId="0B9B8222"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lastRenderedPageBreak/>
        <w:t>DHS acknowledges in the NPRM that “a reduction in payments to these households could have a negative impact on the economy by their reduced spending.”</w:t>
      </w:r>
      <w:r w:rsidRPr="001A27AE">
        <w:rPr>
          <w:rFonts w:ascii="Georgia" w:eastAsia="Aptos" w:hAnsi="Georgia" w:cs="Times New Roman"/>
          <w:kern w:val="0"/>
          <w:vertAlign w:val="superscript"/>
          <w14:ligatures w14:val="none"/>
        </w:rPr>
        <w:footnoteReference w:id="14"/>
      </w:r>
      <w:r w:rsidRPr="001A27AE">
        <w:rPr>
          <w:rFonts w:ascii="Georgia" w:eastAsia="Aptos" w:hAnsi="Georgia" w:cs="Times New Roman"/>
          <w:kern w:val="0"/>
          <w14:ligatures w14:val="none"/>
        </w:rPr>
        <w:t xml:space="preserve"> This impact is well documented: USDA estimates that every $5 in SNAP benefits generates $9 in economic activity.</w:t>
      </w:r>
      <w:r w:rsidRPr="001A27AE">
        <w:rPr>
          <w:rFonts w:ascii="Georgia" w:eastAsia="Aptos" w:hAnsi="Georgia" w:cs="Times New Roman"/>
          <w:kern w:val="0"/>
          <w:vertAlign w:val="superscript"/>
          <w14:ligatures w14:val="none"/>
        </w:rPr>
        <w:footnoteReference w:id="15"/>
      </w:r>
      <w:r w:rsidRPr="001A27AE">
        <w:rPr>
          <w:rFonts w:ascii="Georgia" w:eastAsia="Aptos" w:hAnsi="Georgia" w:cs="Times New Roman"/>
          <w:kern w:val="0"/>
          <w:vertAlign w:val="superscript"/>
          <w14:ligatures w14:val="none"/>
        </w:rPr>
        <w:t xml:space="preserve"> </w:t>
      </w:r>
      <w:r w:rsidRPr="001A27AE">
        <w:rPr>
          <w:rFonts w:ascii="Georgia" w:eastAsia="Aptos" w:hAnsi="Georgia" w:cs="Times New Roman"/>
          <w:kern w:val="0"/>
          <w14:ligatures w14:val="none"/>
        </w:rPr>
        <w:t xml:space="preserve"> </w:t>
      </w:r>
    </w:p>
    <w:p w14:paraId="67DC1BB4"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When eligible families avoid or lose access to SNAP, WIC, or the Child Nutrition Programs because of fear or confusion, states lose millions of dollars in federal resources that would otherwise support children, seniors, veterans, and working families. These losses reverberate across local economies, reducing revenue for grocery stores, farms, transportation companies, and other businesses that depend on consumer spending generated by federal nutrition benefits.</w:t>
      </w:r>
    </w:p>
    <w:p w14:paraId="021FC1EE" w14:textId="77777777" w:rsidR="001A27AE" w:rsidRPr="001A27AE" w:rsidRDefault="001A27AE" w:rsidP="001A27AE">
      <w:pPr>
        <w:spacing w:before="240" w:after="240" w:line="240" w:lineRule="auto"/>
        <w:rPr>
          <w:rFonts w:ascii="Georgia" w:eastAsia="Aptos" w:hAnsi="Georgia" w:cs="Times New Roman"/>
          <w:b/>
          <w:kern w:val="0"/>
          <w14:ligatures w14:val="none"/>
        </w:rPr>
      </w:pPr>
      <w:r w:rsidRPr="001A27AE">
        <w:rPr>
          <w:rFonts w:ascii="Georgia" w:eastAsia="Aptos" w:hAnsi="Georgia" w:cs="Times New Roman"/>
          <w:kern w:val="0"/>
          <w:highlight w:val="yellow"/>
          <w14:ligatures w14:val="none"/>
        </w:rPr>
        <w:t xml:space="preserve">[put state examples] </w:t>
      </w:r>
      <w:r w:rsidRPr="001A27AE">
        <w:rPr>
          <w:rFonts w:ascii="Georgia" w:eastAsia="Aptos" w:hAnsi="Georgia" w:cs="Times New Roman"/>
          <w:b/>
          <w:bCs/>
          <w:kern w:val="0"/>
          <w14:ligatures w14:val="none"/>
        </w:rPr>
        <w:t xml:space="preserve"> Y</w:t>
      </w:r>
      <w:r w:rsidRPr="001A27AE">
        <w:rPr>
          <w:rFonts w:ascii="Georgia" w:eastAsia="Calibri" w:hAnsi="Georgia" w:cs="Times New Roman"/>
          <w:b/>
          <w:bCs/>
          <w:kern w:val="0"/>
          <w14:ligatures w14:val="none"/>
        </w:rPr>
        <w:t xml:space="preserve">ou can also find more information about the impact of SNAP in your state </w:t>
      </w:r>
      <w:hyperlink r:id="rId8" w:history="1">
        <w:r w:rsidRPr="001A27AE">
          <w:rPr>
            <w:rFonts w:ascii="Georgia" w:eastAsia="Calibri" w:hAnsi="Georgia" w:cs="Times New Roman"/>
            <w:b/>
            <w:bCs/>
            <w:color w:val="0000FF"/>
            <w:kern w:val="0"/>
            <w:u w:val="single"/>
            <w14:ligatures w14:val="none"/>
          </w:rPr>
          <w:t>here</w:t>
        </w:r>
      </w:hyperlink>
      <w:r w:rsidRPr="001A27AE">
        <w:rPr>
          <w:rFonts w:ascii="Georgia" w:eastAsia="Calibri" w:hAnsi="Georgia" w:cs="Times New Roman"/>
          <w:b/>
          <w:bCs/>
          <w:kern w:val="0"/>
          <w14:ligatures w14:val="none"/>
        </w:rPr>
        <w:t>.</w:t>
      </w:r>
      <w:r w:rsidRPr="001A27AE">
        <w:rPr>
          <w:rFonts w:ascii="Georgia" w:eastAsia="Aptos" w:hAnsi="Georgia" w:cs="Times New Roman"/>
          <w:b/>
          <w:bCs/>
          <w:kern w:val="0"/>
          <w14:ligatures w14:val="none"/>
        </w:rPr>
        <w:t xml:space="preserve">)  </w:t>
      </w:r>
    </w:p>
    <w:p w14:paraId="175F6C67"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These economic harms will be compounded by the reconciliation law’s restrictions, which reduce the number of people eligible for SNAP and therefore amplify the spending reductions created by the proposed rule.</w:t>
      </w:r>
      <w:r w:rsidRPr="001A27AE">
        <w:rPr>
          <w:rFonts w:ascii="Georgia" w:eastAsia="Aptos" w:hAnsi="Georgia" w:cs="Times New Roman"/>
          <w:kern w:val="0"/>
          <w:vertAlign w:val="superscript"/>
          <w14:ligatures w14:val="none"/>
        </w:rPr>
        <w:footnoteReference w:id="16"/>
      </w:r>
      <w:r w:rsidRPr="001A27AE">
        <w:rPr>
          <w:rFonts w:ascii="Georgia" w:eastAsia="Aptos" w:hAnsi="Georgia" w:cs="Times New Roman"/>
          <w:kern w:val="0"/>
          <w14:ligatures w14:val="none"/>
        </w:rPr>
        <w:t xml:space="preserve"> Each disenrolled household represents not only a family facing increased hardship but also federal dollars no longer flowing into local stores and state economies. The National Grocers Association projects that SNAP cuts under the reconciliation bill will reduce SNAP-related sales by approximately $87 billion nationwide.</w:t>
      </w:r>
      <w:r w:rsidRPr="001A27AE">
        <w:rPr>
          <w:rFonts w:ascii="Georgia" w:eastAsia="Aptos" w:hAnsi="Georgia" w:cs="Times New Roman"/>
          <w:kern w:val="0"/>
          <w:vertAlign w:val="superscript"/>
          <w14:ligatures w14:val="none"/>
        </w:rPr>
        <w:footnoteReference w:id="17"/>
      </w:r>
      <w:r w:rsidRPr="001A27AE">
        <w:rPr>
          <w:rFonts w:ascii="Georgia" w:eastAsia="Aptos" w:hAnsi="Georgia" w:cs="Times New Roman"/>
          <w:kern w:val="0"/>
          <w14:ligatures w14:val="none"/>
        </w:rPr>
        <w:t xml:space="preserve"> When combined with the chilling effects of the proposed rule, these reductions translate into fewer jobs, weakened small businesses, and diminished economic activity in communities that rely on federal nutrition funding as an essential economic driver.</w:t>
      </w:r>
    </w:p>
    <w:p w14:paraId="42CE73F3" w14:textId="77777777" w:rsidR="001A27AE" w:rsidRPr="009952E7" w:rsidRDefault="001A27AE" w:rsidP="001A27AE">
      <w:pPr>
        <w:numPr>
          <w:ilvl w:val="0"/>
          <w:numId w:val="2"/>
        </w:numPr>
        <w:spacing w:before="240" w:after="240" w:line="240" w:lineRule="auto"/>
        <w:contextualSpacing/>
        <w:rPr>
          <w:rFonts w:ascii="Georgia" w:eastAsia="Aptos" w:hAnsi="Georgia" w:cs="Times New Roman"/>
          <w:kern w:val="0"/>
          <w14:ligatures w14:val="none"/>
        </w:rPr>
      </w:pPr>
      <w:r w:rsidRPr="001A27AE">
        <w:rPr>
          <w:rFonts w:ascii="Georgia" w:eastAsia="Aptos" w:hAnsi="Georgia" w:cs="Times New Roman"/>
          <w:b/>
          <w:bCs/>
          <w:kern w:val="0"/>
          <w14:ligatures w14:val="none"/>
        </w:rPr>
        <w:t xml:space="preserve">In conclusion, the proposed rule would reverse decades of progress in reducing hunger and poverty, leading to a hungrier, sicker, and poorer nation. </w:t>
      </w:r>
    </w:p>
    <w:p w14:paraId="401C0AA2" w14:textId="77777777" w:rsidR="009952E7" w:rsidRPr="001A27AE" w:rsidRDefault="009952E7" w:rsidP="009952E7">
      <w:pPr>
        <w:spacing w:before="240" w:after="240" w:line="240" w:lineRule="auto"/>
        <w:contextualSpacing/>
        <w:rPr>
          <w:rFonts w:ascii="Georgia" w:eastAsia="Aptos" w:hAnsi="Georgia" w:cs="Times New Roman"/>
          <w:kern w:val="0"/>
          <w14:ligatures w14:val="none"/>
        </w:rPr>
      </w:pPr>
    </w:p>
    <w:p w14:paraId="05431B88"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By deterring individuals and families from accessing vital programs targeted by the rule, the proposal would increase food insecurity and hunger across communities. Food insecurity is closely linked to some of the most common and costly health conditions among adults, including diabetes, heart disease, obesity, hypertension, chronic kidney disease, and depression.</w:t>
      </w:r>
      <w:r w:rsidRPr="001A27AE">
        <w:rPr>
          <w:rFonts w:ascii="Georgia" w:eastAsia="Aptos" w:hAnsi="Georgia" w:cs="Times New Roman"/>
          <w:kern w:val="0"/>
          <w:vertAlign w:val="superscript"/>
          <w14:ligatures w14:val="none"/>
        </w:rPr>
        <w:footnoteReference w:id="18"/>
      </w:r>
      <w:r w:rsidRPr="001A27AE">
        <w:rPr>
          <w:rFonts w:ascii="Georgia" w:eastAsia="Aptos" w:hAnsi="Georgia" w:cs="Times New Roman"/>
          <w:kern w:val="0"/>
          <w14:ligatures w14:val="none"/>
        </w:rPr>
        <w:t xml:space="preserve"> Its consequences are especially severe for children: research shows that food insecurity undermines healthy development, reduces academic performance, and carries lifelong economic and health implications. Evidence also shows that food insecurity drives substantial health care spending, an estimated $179 </w:t>
      </w:r>
      <w:r w:rsidRPr="001A27AE">
        <w:rPr>
          <w:rFonts w:ascii="Georgia" w:eastAsia="Aptos" w:hAnsi="Georgia" w:cs="Times New Roman"/>
          <w:kern w:val="0"/>
          <w14:ligatures w14:val="none"/>
        </w:rPr>
        <w:lastRenderedPageBreak/>
        <w:t>billion annually, and that investing in programs like SNAP, WIC, and school meals reduces these costs while improving health outcomes for children and families.</w:t>
      </w:r>
      <w:r w:rsidRPr="001A27AE">
        <w:rPr>
          <w:rFonts w:ascii="Georgia" w:eastAsia="Aptos" w:hAnsi="Georgia" w:cs="Times New Roman"/>
          <w:kern w:val="0"/>
          <w:vertAlign w:val="superscript"/>
          <w14:ligatures w14:val="none"/>
        </w:rPr>
        <w:footnoteReference w:id="19"/>
      </w:r>
      <w:r w:rsidRPr="001A27AE">
        <w:rPr>
          <w:rFonts w:ascii="Georgia" w:eastAsia="Aptos" w:hAnsi="Georgia" w:cs="Times New Roman"/>
          <w:kern w:val="0"/>
          <w14:ligatures w14:val="none"/>
        </w:rPr>
        <w:t xml:space="preserve"> For children under four alone, food insecurity-related health care costs are estimated at $1.2 billion each year. </w:t>
      </w:r>
      <w:r w:rsidRPr="001A27AE">
        <w:rPr>
          <w:rFonts w:ascii="Georgia" w:eastAsia="Aptos" w:hAnsi="Georgia" w:cs="Times New Roman"/>
          <w:kern w:val="0"/>
          <w:vertAlign w:val="superscript"/>
          <w14:ligatures w14:val="none"/>
        </w:rPr>
        <w:footnoteReference w:id="20"/>
      </w:r>
    </w:p>
    <w:p w14:paraId="7A83D33F"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Nutrition programs are an investment in the health, well-being, and development of communities. Every $1 spent on WIC generates an estimated $2.48 in medical, educational, and productivity savings. By lessening access to nutrition programs, that lost investment will increase the costs of health care, education, and other services local communities provide.</w:t>
      </w:r>
      <w:r w:rsidRPr="001A27AE">
        <w:rPr>
          <w:rFonts w:ascii="Georgia" w:eastAsia="Aptos" w:hAnsi="Georgia" w:cs="Times New Roman"/>
          <w:kern w:val="0"/>
          <w:vertAlign w:val="superscript"/>
          <w14:ligatures w14:val="none"/>
        </w:rPr>
        <w:footnoteReference w:id="21"/>
      </w:r>
    </w:p>
    <w:p w14:paraId="2E4C037C" w14:textId="77777777" w:rsidR="001A27AE" w:rsidRPr="001A27AE" w:rsidRDefault="001A27AE" w:rsidP="001A27AE">
      <w:pPr>
        <w:spacing w:before="240" w:after="240" w:line="240" w:lineRule="auto"/>
        <w:rPr>
          <w:rFonts w:ascii="Georgia" w:eastAsia="Aptos" w:hAnsi="Georgia" w:cs="Times New Roman"/>
          <w:kern w:val="0"/>
          <w14:ligatures w14:val="none"/>
        </w:rPr>
      </w:pPr>
      <w:r w:rsidRPr="001A27AE">
        <w:rPr>
          <w:rFonts w:ascii="Georgia" w:eastAsia="Aptos" w:hAnsi="Georgia" w:cs="Times New Roman"/>
          <w:kern w:val="0"/>
          <w14:ligatures w14:val="none"/>
        </w:rPr>
        <w:t>For these reasons, the Department should withdraw the proposed public charge rule and instead pursue policies that strengthen, rather than undermine, the ability of U.S. citizens and immigrants to support themselves, care for their families, and contribute to their communities.</w:t>
      </w:r>
    </w:p>
    <w:p w14:paraId="352E7F98" w14:textId="77777777" w:rsidR="001A27AE" w:rsidRPr="001A27AE" w:rsidRDefault="001A27AE" w:rsidP="001A27AE">
      <w:pPr>
        <w:spacing w:after="0" w:line="240" w:lineRule="auto"/>
        <w:rPr>
          <w:rFonts w:ascii="Georgia" w:eastAsia="Aptos" w:hAnsi="Georgia" w:cs="Times New Roman"/>
          <w:color w:val="000000"/>
          <w:kern w:val="0"/>
          <w14:ligatures w14:val="none"/>
        </w:rPr>
      </w:pPr>
    </w:p>
    <w:p w14:paraId="53E1B200" w14:textId="77777777" w:rsidR="001A27AE" w:rsidRPr="001A27AE" w:rsidRDefault="001A27AE" w:rsidP="001A27AE">
      <w:p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shd w:val="clear" w:color="auto" w:fill="FFFF00"/>
          <w14:ligatures w14:val="none"/>
        </w:rPr>
        <w:t>Name</w:t>
      </w:r>
    </w:p>
    <w:p w14:paraId="1476844B" w14:textId="77777777" w:rsidR="001A27AE" w:rsidRPr="001A27AE" w:rsidRDefault="001A27AE" w:rsidP="001A27AE">
      <w:p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shd w:val="clear" w:color="auto" w:fill="FFFF00"/>
          <w14:ligatures w14:val="none"/>
        </w:rPr>
        <w:t>Title</w:t>
      </w:r>
    </w:p>
    <w:p w14:paraId="79B0BB42" w14:textId="0ED0B954" w:rsidR="007E3ECD" w:rsidRPr="009952E7" w:rsidRDefault="001A27AE" w:rsidP="009952E7">
      <w:pPr>
        <w:spacing w:after="0" w:line="240" w:lineRule="auto"/>
        <w:contextualSpacing/>
        <w:rPr>
          <w:rFonts w:ascii="Georgia" w:eastAsia="Aptos" w:hAnsi="Georgia" w:cs="Times New Roman"/>
          <w:kern w:val="0"/>
          <w14:ligatures w14:val="none"/>
        </w:rPr>
      </w:pPr>
      <w:r w:rsidRPr="001A27AE">
        <w:rPr>
          <w:rFonts w:ascii="Georgia" w:eastAsia="Aptos" w:hAnsi="Georgia" w:cs="Times New Roman"/>
          <w:kern w:val="0"/>
          <w:highlight w:val="yellow"/>
          <w14:ligatures w14:val="none"/>
        </w:rPr>
        <w:t>[Insert contact information and add signature line if desired.]</w:t>
      </w:r>
    </w:p>
    <w:sectPr w:rsidR="007E3ECD" w:rsidRPr="009952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FB98" w14:textId="77777777" w:rsidR="00D74DF1" w:rsidRDefault="00D74DF1" w:rsidP="001A27AE">
      <w:pPr>
        <w:spacing w:after="0" w:line="240" w:lineRule="auto"/>
      </w:pPr>
      <w:r>
        <w:separator/>
      </w:r>
    </w:p>
  </w:endnote>
  <w:endnote w:type="continuationSeparator" w:id="0">
    <w:p w14:paraId="787B1327" w14:textId="77777777" w:rsidR="00D74DF1" w:rsidRDefault="00D74DF1" w:rsidP="001A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F2CB" w14:textId="77777777" w:rsidR="00D74DF1" w:rsidRDefault="00D74DF1" w:rsidP="001A27AE">
      <w:pPr>
        <w:spacing w:after="0" w:line="240" w:lineRule="auto"/>
      </w:pPr>
      <w:r>
        <w:separator/>
      </w:r>
    </w:p>
  </w:footnote>
  <w:footnote w:type="continuationSeparator" w:id="0">
    <w:p w14:paraId="39324970" w14:textId="77777777" w:rsidR="00D74DF1" w:rsidRDefault="00D74DF1" w:rsidP="001A27AE">
      <w:pPr>
        <w:spacing w:after="0" w:line="240" w:lineRule="auto"/>
      </w:pPr>
      <w:r>
        <w:continuationSeparator/>
      </w:r>
    </w:p>
  </w:footnote>
  <w:footnote w:id="1">
    <w:p w14:paraId="1033F5CC" w14:textId="77777777" w:rsidR="001A27AE" w:rsidRDefault="001A27AE" w:rsidP="001A27AE">
      <w:pPr>
        <w:pStyle w:val="FootnoteText1"/>
        <w:rPr>
          <w:rFonts w:ascii="Aptos" w:eastAsia="Aptos" w:hAnsi="Aptos" w:cs="Aptos"/>
        </w:rPr>
      </w:pPr>
    </w:p>
    <w:p w14:paraId="34695400" w14:textId="77777777" w:rsidR="001A27AE" w:rsidRDefault="001A27AE" w:rsidP="001A27AE">
      <w:pPr>
        <w:pStyle w:val="FootnoteText1"/>
      </w:pPr>
      <w:r w:rsidRPr="0E73E362">
        <w:rPr>
          <w:rStyle w:val="FootnoteReference"/>
          <w:rFonts w:ascii="Aptos" w:eastAsia="Aptos" w:hAnsi="Aptos" w:cs="Aptos"/>
        </w:rPr>
        <w:footnoteRef/>
      </w:r>
      <w:r w:rsidRPr="0E73E362">
        <w:rPr>
          <w:rFonts w:ascii="Aptos" w:eastAsia="Aptos" w:hAnsi="Aptos" w:cs="Aptos"/>
        </w:rPr>
        <w:t xml:space="preserve"> </w:t>
      </w:r>
      <w:r w:rsidRPr="001A27AE">
        <w:rPr>
          <w:rFonts w:ascii="Aptos" w:eastAsia="Aptos" w:hAnsi="Aptos" w:cs="Aptos"/>
          <w:i/>
          <w:iCs/>
          <w:color w:val="000000"/>
        </w:rPr>
        <w:t>Public Charge Ground of Inadmissibility</w:t>
      </w:r>
      <w:r w:rsidRPr="001A27AE">
        <w:rPr>
          <w:rFonts w:ascii="Aptos" w:eastAsia="Aptos" w:hAnsi="Aptos" w:cs="Aptos"/>
          <w:color w:val="000000"/>
        </w:rPr>
        <w:t xml:space="preserve">. (2025, November 19). Federal Register. </w:t>
      </w:r>
      <w:hyperlink r:id="rId1" w:anchor="page-52214">
        <w:r w:rsidRPr="0E73E362">
          <w:rPr>
            <w:rStyle w:val="Hyperlink"/>
            <w:rFonts w:ascii="Aptos" w:eastAsia="Aptos" w:hAnsi="Aptos" w:cs="Aptos"/>
          </w:rPr>
          <w:t>https://www.federalregister.gov/documents/2025/11/19/2025-20278/public-charge-ground-of-inadmissibility#page-52214</w:t>
        </w:r>
      </w:hyperlink>
    </w:p>
    <w:p w14:paraId="47C84304" w14:textId="77777777" w:rsidR="001A27AE" w:rsidRDefault="001A27AE" w:rsidP="001A27AE">
      <w:pPr>
        <w:spacing w:before="240" w:after="240"/>
      </w:pPr>
      <w:r w:rsidRPr="001A27AE">
        <w:rPr>
          <w:rFonts w:ascii="Aptos" w:eastAsia="Aptos" w:hAnsi="Aptos" w:cs="Aptos"/>
          <w:color w:val="000000"/>
          <w:sz w:val="20"/>
          <w:szCs w:val="20"/>
        </w:rPr>
        <w:t>‌</w:t>
      </w:r>
    </w:p>
    <w:p w14:paraId="68BFC113" w14:textId="77777777" w:rsidR="001A27AE" w:rsidRDefault="001A27AE" w:rsidP="001A27AE">
      <w:pPr>
        <w:pStyle w:val="FootnoteText1"/>
      </w:pPr>
    </w:p>
  </w:footnote>
  <w:footnote w:id="2">
    <w:p w14:paraId="1F5EE0D4" w14:textId="77777777" w:rsidR="001A27AE" w:rsidRDefault="001A27AE" w:rsidP="001A27AE">
      <w:pPr>
        <w:pStyle w:val="FootnoteText1"/>
      </w:pPr>
      <w:r w:rsidRPr="0E73E362">
        <w:rPr>
          <w:rStyle w:val="FootnoteReference"/>
          <w:rFonts w:ascii="Aptos" w:eastAsia="Aptos" w:hAnsi="Aptos" w:cs="Aptos"/>
        </w:rPr>
        <w:footnoteRef/>
      </w:r>
      <w:r w:rsidRPr="0E73E362">
        <w:rPr>
          <w:rFonts w:ascii="Aptos" w:eastAsia="Aptos" w:hAnsi="Aptos" w:cs="Aptos"/>
        </w:rPr>
        <w:t xml:space="preserve"> </w:t>
      </w:r>
      <w:r w:rsidRPr="001A27AE">
        <w:rPr>
          <w:rFonts w:ascii="Aptos" w:eastAsia="Aptos" w:hAnsi="Aptos" w:cs="Aptos"/>
          <w:i/>
          <w:iCs/>
          <w:color w:val="000000"/>
        </w:rPr>
        <w:t>Inadmissibility on Public Charge Grounds</w:t>
      </w:r>
      <w:r w:rsidRPr="001A27AE">
        <w:rPr>
          <w:rFonts w:ascii="Aptos" w:eastAsia="Aptos" w:hAnsi="Aptos" w:cs="Aptos"/>
          <w:color w:val="000000"/>
        </w:rPr>
        <w:t xml:space="preserve">. (2018, October 10). Federal Register. </w:t>
      </w:r>
      <w:hyperlink r:id="rId2">
        <w:r w:rsidRPr="0E73E362">
          <w:rPr>
            <w:rStyle w:val="Hyperlink"/>
            <w:rFonts w:ascii="Aptos" w:eastAsia="Aptos" w:hAnsi="Aptos" w:cs="Aptos"/>
          </w:rPr>
          <w:t>https://www.federalregister.gov/documents/2018/10/10/2018-21106/inadmissibility-on-public-charge-grounds</w:t>
        </w:r>
      </w:hyperlink>
    </w:p>
    <w:p w14:paraId="15E3E036" w14:textId="77777777" w:rsidR="001A27AE" w:rsidRDefault="001A27AE" w:rsidP="001A27AE">
      <w:pPr>
        <w:spacing w:before="240" w:after="240"/>
      </w:pPr>
      <w:r w:rsidRPr="001A27AE">
        <w:rPr>
          <w:rFonts w:ascii="Aptos" w:eastAsia="Aptos" w:hAnsi="Aptos" w:cs="Aptos"/>
          <w:color w:val="000000"/>
          <w:sz w:val="20"/>
          <w:szCs w:val="20"/>
        </w:rPr>
        <w:t>‌</w:t>
      </w:r>
    </w:p>
    <w:p w14:paraId="621D3E1F" w14:textId="77777777" w:rsidR="001A27AE" w:rsidRDefault="001A27AE" w:rsidP="001A27AE">
      <w:pPr>
        <w:pStyle w:val="FootnoteText1"/>
      </w:pPr>
    </w:p>
  </w:footnote>
  <w:footnote w:id="3">
    <w:p w14:paraId="16E5288B" w14:textId="77777777" w:rsidR="001A27AE" w:rsidRDefault="001A27AE" w:rsidP="001A27AE">
      <w:pPr>
        <w:pStyle w:val="FootnoteText1"/>
      </w:pPr>
      <w:r w:rsidRPr="0E73E362">
        <w:rPr>
          <w:rStyle w:val="FootnoteReference"/>
          <w:rFonts w:ascii="Aptos" w:eastAsia="Aptos" w:hAnsi="Aptos" w:cs="Aptos"/>
        </w:rPr>
        <w:footnoteRef/>
      </w:r>
      <w:r w:rsidRPr="0E73E362">
        <w:rPr>
          <w:rFonts w:ascii="Aptos" w:eastAsia="Aptos" w:hAnsi="Aptos" w:cs="Aptos"/>
        </w:rPr>
        <w:t xml:space="preserve"> </w:t>
      </w:r>
      <w:r w:rsidRPr="001A27AE">
        <w:rPr>
          <w:rFonts w:ascii="Aptos" w:eastAsia="Aptos" w:hAnsi="Aptos" w:cs="Aptos"/>
          <w:i/>
          <w:iCs/>
          <w:color w:val="000000"/>
        </w:rPr>
        <w:t>Inadmissibility on Public Charge Grounds</w:t>
      </w:r>
      <w:r w:rsidRPr="001A27AE">
        <w:rPr>
          <w:rFonts w:ascii="Aptos" w:eastAsia="Aptos" w:hAnsi="Aptos" w:cs="Aptos"/>
          <w:color w:val="000000"/>
        </w:rPr>
        <w:t xml:space="preserve">. (2018, October 10). Federal Register. </w:t>
      </w:r>
      <w:hyperlink r:id="rId3">
        <w:r w:rsidRPr="0E73E362">
          <w:rPr>
            <w:rStyle w:val="Hyperlink"/>
            <w:rFonts w:ascii="Aptos" w:eastAsia="Aptos" w:hAnsi="Aptos" w:cs="Aptos"/>
          </w:rPr>
          <w:t>https://www.federalregister.gov/documents/2018/10/10/2018-21106/inadmissibility-on-public-charge-grounds</w:t>
        </w:r>
      </w:hyperlink>
    </w:p>
  </w:footnote>
  <w:footnote w:id="4">
    <w:p w14:paraId="70512AF2" w14:textId="77777777" w:rsidR="001A27AE" w:rsidRDefault="001A27AE" w:rsidP="001A27AE">
      <w:pPr>
        <w:pStyle w:val="FootnoteText1"/>
      </w:pPr>
      <w:r w:rsidRPr="0E73E362">
        <w:rPr>
          <w:rStyle w:val="FootnoteReference"/>
          <w:rFonts w:ascii="Aptos" w:eastAsia="Aptos" w:hAnsi="Aptos" w:cs="Aptos"/>
        </w:rPr>
        <w:footnoteRef/>
      </w:r>
      <w:r w:rsidRPr="0E73E362">
        <w:rPr>
          <w:rFonts w:ascii="Aptos" w:eastAsia="Aptos" w:hAnsi="Aptos" w:cs="Aptos"/>
        </w:rPr>
        <w:t xml:space="preserve"> </w:t>
      </w:r>
      <w:r w:rsidRPr="001A27AE">
        <w:rPr>
          <w:rFonts w:ascii="Aptos" w:eastAsia="Aptos" w:hAnsi="Aptos" w:cs="Aptos"/>
          <w:i/>
          <w:iCs/>
          <w:color w:val="000000"/>
        </w:rPr>
        <w:t>Public Charge Ground of Inadmissibility</w:t>
      </w:r>
      <w:r w:rsidRPr="001A27AE">
        <w:rPr>
          <w:rFonts w:ascii="Aptos" w:eastAsia="Aptos" w:hAnsi="Aptos" w:cs="Aptos"/>
          <w:color w:val="000000"/>
        </w:rPr>
        <w:t xml:space="preserve">. (2025, November 19). Federal Register. </w:t>
      </w:r>
      <w:hyperlink r:id="rId4" w:anchor="page-52214">
        <w:r w:rsidRPr="0E73E362">
          <w:rPr>
            <w:rStyle w:val="Hyperlink"/>
            <w:rFonts w:ascii="Aptos" w:eastAsia="Aptos" w:hAnsi="Aptos" w:cs="Aptos"/>
          </w:rPr>
          <w:t>https://www.federalregister.gov/documents/2025/11/19/2025-20278/public-charge-ground-of-inadmissibility#page-52214</w:t>
        </w:r>
      </w:hyperlink>
    </w:p>
    <w:p w14:paraId="74E96692" w14:textId="77777777" w:rsidR="001A27AE" w:rsidRDefault="001A27AE" w:rsidP="001A27AE">
      <w:pPr>
        <w:spacing w:before="240" w:after="240"/>
      </w:pPr>
      <w:r w:rsidRPr="001A27AE">
        <w:rPr>
          <w:rFonts w:ascii="Aptos" w:eastAsia="Aptos" w:hAnsi="Aptos" w:cs="Aptos"/>
          <w:color w:val="000000"/>
          <w:sz w:val="20"/>
          <w:szCs w:val="20"/>
        </w:rPr>
        <w:t>‌</w:t>
      </w:r>
    </w:p>
    <w:p w14:paraId="3910D52B" w14:textId="77777777" w:rsidR="001A27AE" w:rsidRDefault="001A27AE" w:rsidP="001A27AE">
      <w:pPr>
        <w:pStyle w:val="FootnoteText1"/>
      </w:pPr>
    </w:p>
  </w:footnote>
  <w:footnote w:id="5">
    <w:p w14:paraId="55CE9C46" w14:textId="77777777" w:rsidR="001A27AE" w:rsidRDefault="001A27AE" w:rsidP="001A27AE">
      <w:pPr>
        <w:pStyle w:val="FootnoteText1"/>
      </w:pPr>
      <w:r w:rsidRPr="0E73E362">
        <w:rPr>
          <w:rStyle w:val="FootnoteReference"/>
          <w:rFonts w:ascii="Aptos" w:eastAsia="Aptos" w:hAnsi="Aptos" w:cs="Aptos"/>
        </w:rPr>
        <w:footnoteRef/>
      </w:r>
      <w:r w:rsidRPr="0E73E362">
        <w:rPr>
          <w:rFonts w:ascii="Aptos" w:eastAsia="Aptos" w:hAnsi="Aptos" w:cs="Aptos"/>
        </w:rPr>
        <w:t xml:space="preserve"> </w:t>
      </w:r>
      <w:r w:rsidRPr="001A27AE">
        <w:rPr>
          <w:rFonts w:ascii="Aptos" w:eastAsia="Aptos" w:hAnsi="Aptos" w:cs="Aptos"/>
          <w:i/>
          <w:iCs/>
          <w:color w:val="000000"/>
        </w:rPr>
        <w:t>PRWORA’s Immigrant Provisions</w:t>
      </w:r>
      <w:r w:rsidRPr="001A27AE">
        <w:rPr>
          <w:rFonts w:ascii="Aptos" w:eastAsia="Aptos" w:hAnsi="Aptos" w:cs="Aptos"/>
          <w:color w:val="000000"/>
        </w:rPr>
        <w:t xml:space="preserve">. (2025). Ct.gov. </w:t>
      </w:r>
      <w:hyperlink r:id="rId5">
        <w:r w:rsidRPr="0E73E362">
          <w:rPr>
            <w:rStyle w:val="Hyperlink"/>
            <w:rFonts w:ascii="Aptos" w:eastAsia="Aptos" w:hAnsi="Aptos" w:cs="Aptos"/>
          </w:rPr>
          <w:t>https://www.cga.ct.gov/2007/rpt/2007-R-0705.htm</w:t>
        </w:r>
      </w:hyperlink>
      <w:r w:rsidRPr="001A27AE">
        <w:rPr>
          <w:rFonts w:ascii="Aptos" w:eastAsia="Aptos" w:hAnsi="Aptos" w:cs="Aptos"/>
          <w:color w:val="000000"/>
        </w:rPr>
        <w:t>?</w:t>
      </w:r>
    </w:p>
  </w:footnote>
  <w:footnote w:id="6">
    <w:p w14:paraId="724E1878" w14:textId="77777777" w:rsidR="001A27AE" w:rsidRDefault="001A27AE" w:rsidP="001A27AE">
      <w:pPr>
        <w:pStyle w:val="FootnoteText1"/>
      </w:pPr>
      <w:r w:rsidRPr="0E73E362">
        <w:rPr>
          <w:rStyle w:val="FootnoteReference"/>
          <w:rFonts w:ascii="Aptos" w:eastAsia="Aptos" w:hAnsi="Aptos" w:cs="Aptos"/>
        </w:rPr>
        <w:footnoteRef/>
      </w:r>
      <w:r w:rsidRPr="0E73E362">
        <w:rPr>
          <w:rFonts w:ascii="Aptos" w:eastAsia="Aptos" w:hAnsi="Aptos" w:cs="Aptos"/>
        </w:rPr>
        <w:t xml:space="preserve"> </w:t>
      </w:r>
      <w:r w:rsidRPr="001A27AE">
        <w:rPr>
          <w:rFonts w:ascii="Aptos" w:eastAsia="Aptos" w:hAnsi="Aptos" w:cs="Aptos"/>
          <w:color w:val="000000"/>
        </w:rPr>
        <w:t xml:space="preserve">Fix, M., &amp; Zimmermann, W. (1998, August). </w:t>
      </w:r>
      <w:r w:rsidRPr="001A27AE">
        <w:rPr>
          <w:rFonts w:ascii="Aptos" w:eastAsia="Aptos" w:hAnsi="Aptos" w:cs="Aptos"/>
          <w:i/>
          <w:iCs/>
          <w:color w:val="000000"/>
        </w:rPr>
        <w:t>The Legacies of Welfare Reform’s Immigrant Restrictions</w:t>
      </w:r>
      <w:r w:rsidRPr="001A27AE">
        <w:rPr>
          <w:rFonts w:ascii="Aptos" w:eastAsia="Aptos" w:hAnsi="Aptos" w:cs="Aptos"/>
          <w:color w:val="000000"/>
        </w:rPr>
        <w:t xml:space="preserve"> [Review of </w:t>
      </w:r>
      <w:r w:rsidRPr="001A27AE">
        <w:rPr>
          <w:rFonts w:ascii="Aptos" w:eastAsia="Aptos" w:hAnsi="Aptos" w:cs="Aptos"/>
          <w:i/>
          <w:iCs/>
          <w:color w:val="000000"/>
        </w:rPr>
        <w:t>The Legacies of Welfare Reform’s Immigrant Restrictions</w:t>
      </w:r>
      <w:r w:rsidRPr="001A27AE">
        <w:rPr>
          <w:rFonts w:ascii="Aptos" w:eastAsia="Aptos" w:hAnsi="Aptos" w:cs="Aptos"/>
          <w:color w:val="000000"/>
        </w:rPr>
        <w:t xml:space="preserve">]. </w:t>
      </w:r>
      <w:hyperlink r:id="rId6">
        <w:r w:rsidRPr="0E73E362">
          <w:rPr>
            <w:rStyle w:val="Hyperlink"/>
            <w:rFonts w:ascii="Aptos" w:eastAsia="Aptos" w:hAnsi="Aptos" w:cs="Aptos"/>
          </w:rPr>
          <w:t>https://migration.ucdavis.edu/cf/more.php?id=120</w:t>
        </w:r>
      </w:hyperlink>
    </w:p>
  </w:footnote>
  <w:footnote w:id="7">
    <w:p w14:paraId="390DBB24" w14:textId="77777777" w:rsidR="001A27AE" w:rsidRDefault="001A27AE" w:rsidP="001A27AE">
      <w:pPr>
        <w:pStyle w:val="FootnoteText1"/>
      </w:pPr>
      <w:r w:rsidRPr="0E73E362">
        <w:rPr>
          <w:rStyle w:val="FootnoteReference"/>
          <w:rFonts w:ascii="Aptos" w:eastAsia="Aptos" w:hAnsi="Aptos" w:cs="Aptos"/>
        </w:rPr>
        <w:footnoteRef/>
      </w:r>
      <w:r w:rsidRPr="0E73E362">
        <w:rPr>
          <w:rFonts w:ascii="Aptos" w:eastAsia="Aptos" w:hAnsi="Aptos" w:cs="Aptos"/>
        </w:rPr>
        <w:t xml:space="preserve"> Plata-Nino, Gina. “Shifting the Burden: How the Recently Passed Budget Reconciliation Package Reshapes SNAP and Strains State Budgets - Food Research &amp; Action Center.” </w:t>
      </w:r>
      <w:r w:rsidRPr="0E73E362">
        <w:rPr>
          <w:rFonts w:ascii="Aptos" w:eastAsia="Aptos" w:hAnsi="Aptos" w:cs="Aptos"/>
          <w:i/>
          <w:iCs/>
        </w:rPr>
        <w:t>Food Research &amp; Action Center</w:t>
      </w:r>
      <w:r w:rsidRPr="0E73E362">
        <w:rPr>
          <w:rFonts w:ascii="Aptos" w:eastAsia="Aptos" w:hAnsi="Aptos" w:cs="Aptos"/>
        </w:rPr>
        <w:t>, 24 July 2025, frac.org/blog/shifting-the-burden-how-the-recently-passed-budget-reconciliation-package-reshapes-snap-and-strains-state-budgets.</w:t>
      </w:r>
    </w:p>
    <w:p w14:paraId="5ED11E2E" w14:textId="77777777" w:rsidR="001A27AE" w:rsidRDefault="001A27AE" w:rsidP="001A27AE">
      <w:pPr>
        <w:pStyle w:val="FootnoteText1"/>
      </w:pPr>
    </w:p>
  </w:footnote>
  <w:footnote w:id="8">
    <w:p w14:paraId="177FBD34" w14:textId="77777777" w:rsidR="001A27AE" w:rsidRDefault="001A27AE" w:rsidP="001A27AE">
      <w:pPr>
        <w:pStyle w:val="FootnoteText1"/>
        <w:rPr>
          <w:rFonts w:ascii="Segoe UI" w:eastAsia="Segoe UI" w:hAnsi="Segoe UI" w:cs="Segoe UI"/>
          <w:color w:val="212121"/>
          <w:sz w:val="24"/>
          <w:szCs w:val="24"/>
        </w:rPr>
      </w:pPr>
      <w:r>
        <w:t xml:space="preserve">Nianogo RA, Wang MC, Basurto-Davila R, </w:t>
      </w:r>
      <w:proofErr w:type="spellStart"/>
      <w:r>
        <w:t>Nobari</w:t>
      </w:r>
      <w:proofErr w:type="spellEnd"/>
      <w:r>
        <w:t xml:space="preserve"> TZ, </w:t>
      </w:r>
      <w:proofErr w:type="spellStart"/>
      <w:r>
        <w:t>Prelip</w:t>
      </w:r>
      <w:proofErr w:type="spellEnd"/>
      <w:r>
        <w:t xml:space="preserve"> M, Arah OA, Whaley SE. Economic evaluation of California prenatal participation in the Special Supplemental Nutrition Program for Women, Infants and Children (WIC) to prevent preterm birth. Prev Med. 2019 </w:t>
      </w:r>
      <w:proofErr w:type="gramStart"/>
      <w:r>
        <w:t>Jul;124:42</w:t>
      </w:r>
      <w:proofErr w:type="gramEnd"/>
      <w:r>
        <w:t xml:space="preserve">-49. </w:t>
      </w:r>
      <w:proofErr w:type="spellStart"/>
      <w:r>
        <w:t>doi</w:t>
      </w:r>
      <w:proofErr w:type="spellEnd"/>
      <w:r>
        <w:t xml:space="preserve">: 10.1016/j.ypmed.2019.04.011. </w:t>
      </w:r>
      <w:proofErr w:type="spellStart"/>
      <w:r>
        <w:t>Epub</w:t>
      </w:r>
      <w:proofErr w:type="spellEnd"/>
      <w:r>
        <w:t xml:space="preserve"> 2019 Apr 16. PMID: 30998955; PMCID: PMC6696990.</w:t>
      </w:r>
    </w:p>
  </w:footnote>
  <w:footnote w:id="9">
    <w:p w14:paraId="1A8A3C59" w14:textId="743DD4A7" w:rsidR="001A27AE" w:rsidRPr="00C97A2C" w:rsidRDefault="001A27AE" w:rsidP="001A27AE">
      <w:pPr>
        <w:pStyle w:val="FootnoteText1"/>
        <w:rPr>
          <w:sz w:val="18"/>
          <w:szCs w:val="18"/>
        </w:rPr>
      </w:pPr>
      <w:r w:rsidRPr="00C97A2C">
        <w:rPr>
          <w:rStyle w:val="FootnoteReference"/>
          <w:rFonts w:ascii="Aptos" w:eastAsia="Aptos" w:hAnsi="Aptos" w:cs="Aptos"/>
          <w:sz w:val="18"/>
          <w:szCs w:val="18"/>
        </w:rPr>
        <w:footnoteRef/>
      </w:r>
      <w:r w:rsidR="009952E7">
        <w:rPr>
          <w:rFonts w:ascii="Aptos" w:eastAsia="Aptos" w:hAnsi="Aptos" w:cs="Aptos"/>
          <w:sz w:val="18"/>
          <w:szCs w:val="18"/>
        </w:rPr>
        <w:t xml:space="preserve"> </w:t>
      </w:r>
      <w:r w:rsidR="009952E7" w:rsidRPr="009952E7">
        <w:rPr>
          <w:rFonts w:ascii="Aptos" w:eastAsia="Aptos" w:hAnsi="Aptos" w:cs="Aptos"/>
          <w:sz w:val="18"/>
          <w:szCs w:val="18"/>
        </w:rPr>
        <w:t xml:space="preserve">Francisco I. Pedraza and Ling Zhu, “The ‘Chilling Effect’ of America’s New Immigration Enforcement Regime,” Pathways, Spring 2015, </w:t>
      </w:r>
      <w:hyperlink r:id="rId7" w:history="1">
        <w:r w:rsidR="009952E7" w:rsidRPr="009952E7">
          <w:rPr>
            <w:rStyle w:val="Hyperlink"/>
            <w:rFonts w:ascii="Aptos" w:eastAsia="Aptos" w:hAnsi="Aptos" w:cs="Aptos"/>
            <w:sz w:val="18"/>
            <w:szCs w:val="18"/>
          </w:rPr>
          <w:t>https://inequality.stanford.edu/sites/default/files/Pathways_Spring_2015_Pedraza_Zhu.pdf</w:t>
        </w:r>
      </w:hyperlink>
      <w:r w:rsidR="009952E7" w:rsidRPr="009952E7">
        <w:rPr>
          <w:rFonts w:ascii="Aptos" w:eastAsia="Aptos" w:hAnsi="Aptos" w:cs="Aptos"/>
          <w:sz w:val="18"/>
          <w:szCs w:val="18"/>
        </w:rPr>
        <w:t>.</w:t>
      </w:r>
    </w:p>
  </w:footnote>
  <w:footnote w:id="10">
    <w:p w14:paraId="4439EE9C" w14:textId="7342B902" w:rsidR="001A27AE" w:rsidRPr="009952E7" w:rsidRDefault="001A27AE" w:rsidP="009952E7">
      <w:pPr>
        <w:pStyle w:val="FootnoteText1"/>
        <w:rPr>
          <w:rFonts w:ascii="Aptos" w:eastAsia="Aptos" w:hAnsi="Aptos" w:cs="Aptos"/>
          <w:sz w:val="18"/>
          <w:szCs w:val="18"/>
        </w:rPr>
      </w:pPr>
      <w:r w:rsidRPr="00C97A2C">
        <w:rPr>
          <w:rStyle w:val="FootnoteReference"/>
          <w:rFonts w:ascii="Aptos" w:eastAsia="Aptos" w:hAnsi="Aptos" w:cs="Aptos"/>
          <w:sz w:val="18"/>
          <w:szCs w:val="18"/>
        </w:rPr>
        <w:footnoteRef/>
      </w:r>
      <w:r w:rsidR="009952E7">
        <w:rPr>
          <w:rFonts w:ascii="Aptos" w:eastAsia="Aptos" w:hAnsi="Aptos" w:cs="Aptos"/>
          <w:sz w:val="18"/>
          <w:szCs w:val="18"/>
        </w:rPr>
        <w:t xml:space="preserve"> </w:t>
      </w:r>
      <w:r w:rsidR="009952E7" w:rsidRPr="009952E7">
        <w:rPr>
          <w:rFonts w:ascii="Aptos" w:eastAsia="Aptos" w:hAnsi="Aptos" w:cs="Aptos"/>
          <w:sz w:val="18"/>
          <w:szCs w:val="18"/>
        </w:rPr>
        <w:t>Michael E. Fix and Jeffrey S. Passel, Trends in Noncitizens’ and Citizens’ Use of Public Benefits Following Welfare Reform: 1994–1997, Urban Institute, 1999.</w:t>
      </w:r>
      <w:r w:rsidR="009952E7">
        <w:rPr>
          <w:rFonts w:ascii="Aptos" w:eastAsia="Aptos" w:hAnsi="Aptos" w:cs="Aptos"/>
          <w:sz w:val="18"/>
          <w:szCs w:val="18"/>
        </w:rPr>
        <w:t xml:space="preserve"> </w:t>
      </w:r>
      <w:hyperlink r:id="rId8" w:history="1">
        <w:r w:rsidR="009952E7" w:rsidRPr="00B72C98">
          <w:rPr>
            <w:rStyle w:val="Hyperlink"/>
            <w:rFonts w:ascii="Aptos" w:eastAsia="Aptos" w:hAnsi="Aptos" w:cs="Aptos"/>
            <w:sz w:val="18"/>
            <w:szCs w:val="18"/>
          </w:rPr>
          <w:t>http://www.urban.org/research/publication/trends-noncitizens-and-citizens-use-public-benefits-following-welfare-reform</w:t>
        </w:r>
      </w:hyperlink>
      <w:r w:rsidR="009952E7" w:rsidRPr="009952E7">
        <w:rPr>
          <w:rFonts w:ascii="Aptos" w:eastAsia="Aptos" w:hAnsi="Aptos" w:cs="Aptos"/>
          <w:sz w:val="18"/>
          <w:szCs w:val="18"/>
        </w:rPr>
        <w:t>.</w:t>
      </w:r>
      <w:r w:rsidR="009952E7" w:rsidRPr="00C97A2C">
        <w:rPr>
          <w:sz w:val="18"/>
          <w:szCs w:val="18"/>
        </w:rPr>
        <w:t xml:space="preserve"> </w:t>
      </w:r>
    </w:p>
  </w:footnote>
  <w:footnote w:id="11">
    <w:p w14:paraId="37455D44" w14:textId="77777777" w:rsidR="009952E7" w:rsidRPr="009952E7" w:rsidRDefault="001A27AE" w:rsidP="009952E7">
      <w:pPr>
        <w:pStyle w:val="FootnoteText1"/>
        <w:rPr>
          <w:rFonts w:ascii="Aptos" w:eastAsia="Aptos" w:hAnsi="Aptos" w:cs="Aptos"/>
          <w:sz w:val="18"/>
          <w:szCs w:val="18"/>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w:t>
      </w:r>
      <w:r w:rsidR="009952E7" w:rsidRPr="009952E7">
        <w:rPr>
          <w:rFonts w:ascii="Aptos" w:eastAsia="Aptos" w:hAnsi="Aptos" w:cs="Aptos"/>
          <w:sz w:val="18"/>
          <w:szCs w:val="18"/>
        </w:rPr>
        <w:t xml:space="preserve">Jenny Genser, </w:t>
      </w:r>
      <w:r w:rsidR="009952E7" w:rsidRPr="009952E7">
        <w:rPr>
          <w:rFonts w:ascii="Aptos" w:eastAsia="Aptos" w:hAnsi="Aptos" w:cs="Aptos"/>
          <w:i/>
          <w:iCs/>
          <w:sz w:val="18"/>
          <w:szCs w:val="18"/>
        </w:rPr>
        <w:t>Who Is Leaving the Food Stamp Program: An Analysis of Caseload Changes from 1994 to 1997</w:t>
      </w:r>
      <w:r w:rsidR="009952E7" w:rsidRPr="009952E7">
        <w:rPr>
          <w:rFonts w:ascii="Aptos" w:eastAsia="Aptos" w:hAnsi="Aptos" w:cs="Aptos"/>
          <w:sz w:val="18"/>
          <w:szCs w:val="18"/>
        </w:rPr>
        <w:t>, U.S. Department of Agriculture, Food and Nutrition Service, Office of Analysis, Nutrition, and Evaluation, 1999.</w:t>
      </w:r>
    </w:p>
    <w:p w14:paraId="7D83AD10" w14:textId="3E2ABC56" w:rsidR="001A27AE" w:rsidRPr="009952E7" w:rsidRDefault="009952E7" w:rsidP="001A27AE">
      <w:pPr>
        <w:pStyle w:val="FootnoteText1"/>
        <w:rPr>
          <w:rFonts w:ascii="Aptos" w:eastAsia="Aptos" w:hAnsi="Aptos" w:cs="Aptos"/>
          <w:sz w:val="18"/>
          <w:szCs w:val="18"/>
        </w:rPr>
      </w:pPr>
      <w:hyperlink r:id="rId9" w:history="1">
        <w:r w:rsidRPr="009952E7">
          <w:rPr>
            <w:rStyle w:val="Hyperlink"/>
            <w:rFonts w:ascii="Aptos" w:eastAsia="Aptos" w:hAnsi="Aptos" w:cs="Aptos"/>
            <w:sz w:val="18"/>
            <w:szCs w:val="18"/>
          </w:rPr>
          <w:t>https://fns-prod.azureedge.us/research/snap/leaving-program-analysis-caseload-changes-1994-1997</w:t>
        </w:r>
      </w:hyperlink>
    </w:p>
  </w:footnote>
  <w:footnote w:id="12">
    <w:p w14:paraId="3F932936" w14:textId="77777777" w:rsidR="001A27AE" w:rsidRPr="00C97A2C" w:rsidRDefault="001A27AE" w:rsidP="001A27AE">
      <w:pPr>
        <w:pStyle w:val="FootnoteText1"/>
        <w:rPr>
          <w:sz w:val="18"/>
          <w:szCs w:val="18"/>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w:t>
      </w:r>
      <w:r w:rsidRPr="001A27AE">
        <w:rPr>
          <w:rFonts w:ascii="Aptos" w:eastAsia="Aptos" w:hAnsi="Aptos" w:cs="Aptos"/>
          <w:color w:val="000000"/>
          <w:sz w:val="18"/>
          <w:szCs w:val="18"/>
        </w:rPr>
        <w:t xml:space="preserve">Karen Cunnyngham, </w:t>
      </w:r>
      <w:r w:rsidRPr="001A27AE">
        <w:rPr>
          <w:rFonts w:ascii="Aptos" w:eastAsia="Aptos" w:hAnsi="Aptos" w:cs="Aptos"/>
          <w:i/>
          <w:iCs/>
          <w:color w:val="000000"/>
          <w:sz w:val="18"/>
          <w:szCs w:val="18"/>
        </w:rPr>
        <w:t>Trends in Food Stamp Program Participation Rates: 1999 to 2002</w:t>
      </w:r>
      <w:r w:rsidRPr="001A27AE">
        <w:rPr>
          <w:rFonts w:ascii="Aptos" w:eastAsia="Aptos" w:hAnsi="Aptos" w:cs="Aptos"/>
          <w:color w:val="000000"/>
          <w:sz w:val="18"/>
          <w:szCs w:val="18"/>
        </w:rPr>
        <w:t xml:space="preserve">, Table 6, USDA, September 2004. </w:t>
      </w:r>
      <w:hyperlink r:id="rId10">
        <w:r w:rsidRPr="00C97A2C">
          <w:rPr>
            <w:rStyle w:val="Hyperlink"/>
            <w:rFonts w:ascii="Aptos" w:eastAsia="Aptos" w:hAnsi="Aptos" w:cs="Aptos"/>
            <w:sz w:val="18"/>
            <w:szCs w:val="18"/>
          </w:rPr>
          <w:t>https://fns-prod.azureedge.us/sites/default/files/Trends99-2002.pdf.</w:t>
        </w:r>
      </w:hyperlink>
    </w:p>
  </w:footnote>
  <w:footnote w:id="13">
    <w:p w14:paraId="0BA0D3C3" w14:textId="77777777" w:rsidR="001A27AE" w:rsidRPr="00C97A2C" w:rsidRDefault="001A27AE" w:rsidP="001A27AE">
      <w:pPr>
        <w:pStyle w:val="FootnoteText1"/>
        <w:rPr>
          <w:sz w:val="18"/>
          <w:szCs w:val="18"/>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w:t>
      </w:r>
      <w:r w:rsidRPr="001A27AE">
        <w:rPr>
          <w:rFonts w:ascii="Aptos" w:eastAsia="Aptos" w:hAnsi="Aptos" w:cs="Aptos"/>
          <w:color w:val="000000"/>
          <w:sz w:val="18"/>
          <w:szCs w:val="18"/>
        </w:rPr>
        <w:t xml:space="preserve">Hamutal Bernstein, Dulce Gonzalez, Michael Karpman, and Stephen Zuckerman, </w:t>
      </w:r>
      <w:r w:rsidRPr="001A27AE">
        <w:rPr>
          <w:rFonts w:ascii="Aptos" w:eastAsia="Aptos" w:hAnsi="Aptos" w:cs="Aptos"/>
          <w:i/>
          <w:iCs/>
          <w:color w:val="000000"/>
          <w:sz w:val="18"/>
          <w:szCs w:val="18"/>
        </w:rPr>
        <w:t>Amid Confusion over the Public Charge Rule, Immigrant Families Continued Avoiding Public Benefits in 2019</w:t>
      </w:r>
      <w:r w:rsidRPr="001A27AE">
        <w:rPr>
          <w:rFonts w:ascii="Aptos" w:eastAsia="Aptos" w:hAnsi="Aptos" w:cs="Aptos"/>
          <w:color w:val="000000"/>
          <w:sz w:val="18"/>
          <w:szCs w:val="18"/>
        </w:rPr>
        <w:t xml:space="preserve">, Urban Institute, 2020. </w:t>
      </w:r>
      <w:hyperlink r:id="rId11">
        <w:r w:rsidRPr="00C97A2C">
          <w:rPr>
            <w:rStyle w:val="Hyperlink"/>
            <w:rFonts w:ascii="Aptos" w:eastAsia="Aptos" w:hAnsi="Aptos" w:cs="Aptos"/>
            <w:sz w:val="18"/>
            <w:szCs w:val="18"/>
          </w:rPr>
          <w:t>https://www.urban.org/research/publication/amid-confusion-over-public-charge-rule-immigrant-families-continued-avoiding-public-benefits-2019</w:t>
        </w:r>
      </w:hyperlink>
      <w:r w:rsidRPr="001A27AE">
        <w:rPr>
          <w:rFonts w:ascii="Aptos" w:eastAsia="Aptos" w:hAnsi="Aptos" w:cs="Aptos"/>
          <w:color w:val="000000"/>
          <w:sz w:val="18"/>
          <w:szCs w:val="18"/>
        </w:rPr>
        <w:t>.</w:t>
      </w:r>
    </w:p>
  </w:footnote>
  <w:footnote w:id="14">
    <w:p w14:paraId="33E89CD5" w14:textId="77777777" w:rsidR="001A27AE" w:rsidRPr="00C97A2C" w:rsidRDefault="001A27AE" w:rsidP="001A27AE">
      <w:pPr>
        <w:pStyle w:val="FootnoteText1"/>
        <w:rPr>
          <w:sz w:val="18"/>
          <w:szCs w:val="18"/>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“Public Charge Ground of Inadmissibility.” </w:t>
      </w:r>
      <w:r w:rsidRPr="00C97A2C">
        <w:rPr>
          <w:rFonts w:ascii="Aptos" w:eastAsia="Aptos" w:hAnsi="Aptos" w:cs="Aptos"/>
          <w:i/>
          <w:iCs/>
          <w:sz w:val="18"/>
          <w:szCs w:val="18"/>
        </w:rPr>
        <w:t>Federal Register</w:t>
      </w:r>
      <w:r w:rsidRPr="00C97A2C">
        <w:rPr>
          <w:rFonts w:ascii="Aptos" w:eastAsia="Aptos" w:hAnsi="Aptos" w:cs="Aptos"/>
          <w:sz w:val="18"/>
          <w:szCs w:val="18"/>
        </w:rPr>
        <w:t xml:space="preserve">, 19 Nov. 2025, </w:t>
      </w:r>
      <w:hyperlink r:id="rId12" w:anchor="page-52214" w:history="1">
        <w:r w:rsidRPr="00C97A2C">
          <w:rPr>
            <w:rStyle w:val="Hyperlink"/>
            <w:rFonts w:ascii="Aptos" w:eastAsia="Aptos" w:hAnsi="Aptos" w:cs="Aptos"/>
            <w:sz w:val="18"/>
            <w:szCs w:val="18"/>
          </w:rPr>
          <w:t>www.federalregister.gov/documents/2025/11/19/2025-20278/public-charge-ground-of-inadmissibility#page-52214</w:t>
        </w:r>
      </w:hyperlink>
      <w:r w:rsidRPr="00C97A2C">
        <w:rPr>
          <w:rFonts w:ascii="Aptos" w:eastAsia="Aptos" w:hAnsi="Aptos" w:cs="Aptos"/>
          <w:sz w:val="18"/>
          <w:szCs w:val="18"/>
        </w:rPr>
        <w:t>.</w:t>
      </w:r>
    </w:p>
  </w:footnote>
  <w:footnote w:id="15">
    <w:p w14:paraId="7DD56BAB" w14:textId="77777777" w:rsidR="001A27AE" w:rsidRPr="00C97A2C" w:rsidRDefault="001A27AE" w:rsidP="001A27AE">
      <w:pPr>
        <w:pStyle w:val="FootnoteText1"/>
        <w:rPr>
          <w:sz w:val="18"/>
          <w:szCs w:val="18"/>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Canning, Patrick, and Brian Stacy. </w:t>
      </w:r>
      <w:r w:rsidRPr="00C97A2C">
        <w:rPr>
          <w:rFonts w:ascii="Aptos" w:eastAsia="Aptos" w:hAnsi="Aptos" w:cs="Aptos"/>
          <w:i/>
          <w:iCs/>
          <w:sz w:val="18"/>
          <w:szCs w:val="18"/>
        </w:rPr>
        <w:t>The Supplemental Nutrition Assistance Program (SNAP) and the Economy: New Estimates of the SNAP Multiplier United States Department of Agriculture</w:t>
      </w:r>
      <w:r w:rsidRPr="00C97A2C">
        <w:rPr>
          <w:rFonts w:ascii="Aptos" w:eastAsia="Aptos" w:hAnsi="Aptos" w:cs="Aptos"/>
          <w:sz w:val="18"/>
          <w:szCs w:val="18"/>
        </w:rPr>
        <w:t>. 2019.</w:t>
      </w:r>
    </w:p>
  </w:footnote>
  <w:footnote w:id="16">
    <w:p w14:paraId="7F908C95" w14:textId="77777777" w:rsidR="001A27AE" w:rsidRPr="00C97A2C" w:rsidRDefault="001A27AE" w:rsidP="001A27AE">
      <w:pPr>
        <w:pStyle w:val="FootnoteText1"/>
        <w:rPr>
          <w:sz w:val="18"/>
          <w:szCs w:val="18"/>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w:t>
      </w:r>
      <w:r w:rsidRPr="00C97A2C">
        <w:rPr>
          <w:rFonts w:ascii="Aptos" w:eastAsia="Aptos" w:hAnsi="Aptos" w:cs="Aptos"/>
          <w:i/>
          <w:iCs/>
          <w:sz w:val="18"/>
          <w:szCs w:val="18"/>
        </w:rPr>
        <w:t>Congressional Budget Office Supplemental Information</w:t>
      </w:r>
      <w:r w:rsidRPr="00C97A2C">
        <w:rPr>
          <w:rFonts w:ascii="Aptos" w:eastAsia="Aptos" w:hAnsi="Aptos" w:cs="Aptos"/>
          <w:sz w:val="18"/>
          <w:szCs w:val="18"/>
        </w:rPr>
        <w:t xml:space="preserve">. 2025., </w:t>
      </w:r>
      <w:hyperlink r:id="rId13">
        <w:r w:rsidRPr="00C97A2C">
          <w:rPr>
            <w:rStyle w:val="Hyperlink"/>
            <w:rFonts w:ascii="Aptos" w:eastAsia="Aptos" w:hAnsi="Aptos" w:cs="Aptos"/>
            <w:sz w:val="18"/>
            <w:szCs w:val="18"/>
          </w:rPr>
          <w:t>Estimated Effects of Public Law 119-21 on Participation and Benefits Under the Supplemental Nutrition Assistance Program</w:t>
        </w:r>
      </w:hyperlink>
    </w:p>
  </w:footnote>
  <w:footnote w:id="17">
    <w:p w14:paraId="676E2DEE" w14:textId="77777777" w:rsidR="001A27AE" w:rsidRDefault="001A27AE" w:rsidP="001A27AE">
      <w:pPr>
        <w:pStyle w:val="FootnoteText1"/>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Johnson, Stephanie. “The “One Big Beautiful Bill Act”: How Major SNAP Reforms Will Reshape the Independent Grocery Industry - National Grocers Association.” </w:t>
      </w:r>
      <w:r w:rsidRPr="00C97A2C">
        <w:rPr>
          <w:rFonts w:ascii="Aptos" w:eastAsia="Aptos" w:hAnsi="Aptos" w:cs="Aptos"/>
          <w:i/>
          <w:iCs/>
          <w:sz w:val="18"/>
          <w:szCs w:val="18"/>
        </w:rPr>
        <w:t>National Grocers Association</w:t>
      </w:r>
      <w:r w:rsidRPr="00C97A2C">
        <w:rPr>
          <w:rFonts w:ascii="Aptos" w:eastAsia="Aptos" w:hAnsi="Aptos" w:cs="Aptos"/>
          <w:sz w:val="18"/>
          <w:szCs w:val="18"/>
        </w:rPr>
        <w:t xml:space="preserve">, 18 July 2025, </w:t>
      </w:r>
      <w:hyperlink r:id="rId14">
        <w:r w:rsidRPr="00C97A2C">
          <w:rPr>
            <w:rStyle w:val="Hyperlink"/>
            <w:rFonts w:ascii="Aptos" w:eastAsia="Aptos" w:hAnsi="Aptos" w:cs="Aptos"/>
            <w:sz w:val="18"/>
            <w:szCs w:val="18"/>
          </w:rPr>
          <w:t>www.nationalgrocers.org/news/the-one-big-beautiful-bill-act-how-major-snap-reforms-will-reshape-the-independent-grocery-industry/</w:t>
        </w:r>
      </w:hyperlink>
      <w:r w:rsidRPr="00C97A2C">
        <w:rPr>
          <w:rFonts w:ascii="Aptos" w:eastAsia="Aptos" w:hAnsi="Aptos" w:cs="Aptos"/>
          <w:sz w:val="18"/>
          <w:szCs w:val="18"/>
        </w:rPr>
        <w:t>.</w:t>
      </w:r>
    </w:p>
  </w:footnote>
  <w:footnote w:id="18">
    <w:p w14:paraId="08E502C5" w14:textId="77777777" w:rsidR="001A27AE" w:rsidRPr="00C97A2C" w:rsidRDefault="001A27AE" w:rsidP="001A27AE">
      <w:pPr>
        <w:pStyle w:val="FootnoteText1"/>
        <w:rPr>
          <w:rFonts w:ascii="Times New Roman" w:eastAsia="Times New Roman" w:hAnsi="Times New Roman" w:cs="Times New Roman"/>
          <w:sz w:val="22"/>
          <w:szCs w:val="22"/>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“The Impact of Poverty, Food Insecurity, and Poor Nutrition on Health and Well-Being.” </w:t>
      </w:r>
      <w:r w:rsidRPr="00C97A2C">
        <w:rPr>
          <w:rFonts w:ascii="Aptos" w:eastAsia="Aptos" w:hAnsi="Aptos" w:cs="Aptos"/>
          <w:i/>
          <w:iCs/>
          <w:sz w:val="18"/>
          <w:szCs w:val="18"/>
        </w:rPr>
        <w:t>Frac.org</w:t>
      </w:r>
      <w:r w:rsidRPr="00C97A2C">
        <w:rPr>
          <w:rFonts w:ascii="Aptos" w:eastAsia="Aptos" w:hAnsi="Aptos" w:cs="Aptos"/>
          <w:sz w:val="18"/>
          <w:szCs w:val="18"/>
        </w:rPr>
        <w:t>, 2024, frac.org/wp-content/uploads/hunger-health-impact-poverty-food-insecurity-health-well-being.pdf.</w:t>
      </w:r>
    </w:p>
  </w:footnote>
  <w:footnote w:id="19">
    <w:p w14:paraId="54A7E3FB" w14:textId="77777777" w:rsidR="001A27AE" w:rsidRPr="00C97A2C" w:rsidRDefault="001A27AE" w:rsidP="001A27AE">
      <w:pPr>
        <w:pStyle w:val="FootnoteText1"/>
        <w:rPr>
          <w:sz w:val="18"/>
          <w:szCs w:val="18"/>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Children's </w:t>
      </w:r>
      <w:proofErr w:type="spellStart"/>
      <w:r w:rsidRPr="00C97A2C">
        <w:rPr>
          <w:rFonts w:ascii="Aptos" w:eastAsia="Aptos" w:hAnsi="Aptos" w:cs="Aptos"/>
          <w:sz w:val="18"/>
          <w:szCs w:val="18"/>
        </w:rPr>
        <w:t>HealthWatch</w:t>
      </w:r>
      <w:proofErr w:type="spellEnd"/>
      <w:r w:rsidRPr="00C97A2C">
        <w:rPr>
          <w:rFonts w:ascii="Aptos" w:eastAsia="Aptos" w:hAnsi="Aptos" w:cs="Aptos"/>
          <w:sz w:val="18"/>
          <w:szCs w:val="18"/>
        </w:rPr>
        <w:t xml:space="preserve">. “The Health and Educational Costs Related to Food Insecurity - Children’s </w:t>
      </w:r>
      <w:proofErr w:type="spellStart"/>
      <w:r w:rsidRPr="00C97A2C">
        <w:rPr>
          <w:rFonts w:ascii="Aptos" w:eastAsia="Aptos" w:hAnsi="Aptos" w:cs="Aptos"/>
          <w:sz w:val="18"/>
          <w:szCs w:val="18"/>
        </w:rPr>
        <w:t>HealthWatch</w:t>
      </w:r>
      <w:proofErr w:type="spellEnd"/>
      <w:r w:rsidRPr="00C97A2C">
        <w:rPr>
          <w:rFonts w:ascii="Aptos" w:eastAsia="Aptos" w:hAnsi="Aptos" w:cs="Aptos"/>
          <w:sz w:val="18"/>
          <w:szCs w:val="18"/>
        </w:rPr>
        <w:t xml:space="preserve">.” </w:t>
      </w:r>
      <w:r w:rsidRPr="00C97A2C">
        <w:rPr>
          <w:rFonts w:ascii="Aptos" w:eastAsia="Aptos" w:hAnsi="Aptos" w:cs="Aptos"/>
          <w:i/>
          <w:iCs/>
          <w:sz w:val="18"/>
          <w:szCs w:val="18"/>
        </w:rPr>
        <w:t xml:space="preserve">Children’s </w:t>
      </w:r>
      <w:proofErr w:type="spellStart"/>
      <w:r w:rsidRPr="00C97A2C">
        <w:rPr>
          <w:rFonts w:ascii="Aptos" w:eastAsia="Aptos" w:hAnsi="Aptos" w:cs="Aptos"/>
          <w:i/>
          <w:iCs/>
          <w:sz w:val="18"/>
          <w:szCs w:val="18"/>
        </w:rPr>
        <w:t>HealthWatch</w:t>
      </w:r>
      <w:proofErr w:type="spellEnd"/>
      <w:r w:rsidRPr="00C97A2C">
        <w:rPr>
          <w:rFonts w:ascii="Aptos" w:eastAsia="Aptos" w:hAnsi="Aptos" w:cs="Aptos"/>
          <w:sz w:val="18"/>
          <w:szCs w:val="18"/>
        </w:rPr>
        <w:t>, 26 June 2025, childrenshealthwatch.org/the-health-and-educational-costs-related-to-food-insecurity/. Accessed 5 Dec. 2025.</w:t>
      </w:r>
    </w:p>
  </w:footnote>
  <w:footnote w:id="20">
    <w:p w14:paraId="47E1F8AA" w14:textId="77777777" w:rsidR="001A27AE" w:rsidRPr="00331352" w:rsidRDefault="001A27AE" w:rsidP="001A27AE">
      <w:pPr>
        <w:pStyle w:val="FootnoteText1"/>
        <w:rPr>
          <w:sz w:val="18"/>
          <w:szCs w:val="18"/>
        </w:rPr>
      </w:pPr>
      <w:r w:rsidRPr="00C97A2C">
        <w:rPr>
          <w:rStyle w:val="FootnoteReference"/>
          <w:rFonts w:ascii="Aptos" w:eastAsia="Aptos" w:hAnsi="Aptos" w:cs="Aptos"/>
          <w:sz w:val="18"/>
          <w:szCs w:val="18"/>
        </w:rPr>
        <w:footnoteRef/>
      </w:r>
      <w:r w:rsidRPr="00C97A2C">
        <w:rPr>
          <w:rFonts w:ascii="Aptos" w:eastAsia="Aptos" w:hAnsi="Aptos" w:cs="Aptos"/>
          <w:sz w:val="18"/>
          <w:szCs w:val="18"/>
        </w:rPr>
        <w:t xml:space="preserve"> Children's </w:t>
      </w:r>
      <w:proofErr w:type="spellStart"/>
      <w:r w:rsidRPr="00C97A2C">
        <w:rPr>
          <w:rFonts w:ascii="Aptos" w:eastAsia="Aptos" w:hAnsi="Aptos" w:cs="Aptos"/>
          <w:sz w:val="18"/>
          <w:szCs w:val="18"/>
        </w:rPr>
        <w:t>HealthWatch</w:t>
      </w:r>
      <w:proofErr w:type="spellEnd"/>
      <w:r w:rsidRPr="00C97A2C">
        <w:rPr>
          <w:rFonts w:ascii="Aptos" w:eastAsia="Aptos" w:hAnsi="Aptos" w:cs="Aptos"/>
          <w:sz w:val="18"/>
          <w:szCs w:val="18"/>
        </w:rPr>
        <w:t xml:space="preserve">. “The Health and Educational Costs Related to Food Insecurity - Children’s </w:t>
      </w:r>
      <w:proofErr w:type="spellStart"/>
      <w:r w:rsidRPr="00C97A2C">
        <w:rPr>
          <w:rFonts w:ascii="Aptos" w:eastAsia="Aptos" w:hAnsi="Aptos" w:cs="Aptos"/>
          <w:sz w:val="18"/>
          <w:szCs w:val="18"/>
        </w:rPr>
        <w:t>HealthWatch</w:t>
      </w:r>
      <w:proofErr w:type="spellEnd"/>
      <w:r w:rsidRPr="00C97A2C">
        <w:rPr>
          <w:rFonts w:ascii="Aptos" w:eastAsia="Aptos" w:hAnsi="Aptos" w:cs="Aptos"/>
          <w:sz w:val="18"/>
          <w:szCs w:val="18"/>
        </w:rPr>
        <w:t xml:space="preserve">.” </w:t>
      </w:r>
      <w:r w:rsidRPr="00C97A2C">
        <w:rPr>
          <w:rFonts w:ascii="Aptos" w:eastAsia="Aptos" w:hAnsi="Aptos" w:cs="Aptos"/>
          <w:i/>
          <w:iCs/>
          <w:sz w:val="18"/>
          <w:szCs w:val="18"/>
        </w:rPr>
        <w:t xml:space="preserve">Children’s </w:t>
      </w:r>
      <w:proofErr w:type="spellStart"/>
      <w:r w:rsidRPr="00C97A2C">
        <w:rPr>
          <w:rFonts w:ascii="Aptos" w:eastAsia="Aptos" w:hAnsi="Aptos" w:cs="Aptos"/>
          <w:i/>
          <w:iCs/>
          <w:sz w:val="18"/>
          <w:szCs w:val="18"/>
        </w:rPr>
        <w:t>HealthWatch</w:t>
      </w:r>
      <w:proofErr w:type="spellEnd"/>
      <w:r w:rsidRPr="00C97A2C">
        <w:rPr>
          <w:rFonts w:ascii="Aptos" w:eastAsia="Aptos" w:hAnsi="Aptos" w:cs="Aptos"/>
          <w:sz w:val="18"/>
          <w:szCs w:val="18"/>
        </w:rPr>
        <w:t>, 26 June 2025, childrenshealthwatch.org/the-health-and-educational-costs-related-to-food-insecurity/. Accessed 5 Dec. 2025.</w:t>
      </w:r>
    </w:p>
  </w:footnote>
  <w:footnote w:id="21">
    <w:p w14:paraId="430D5B7D" w14:textId="77777777" w:rsidR="001A27AE" w:rsidRPr="00821A92" w:rsidRDefault="001A27AE" w:rsidP="001A27AE">
      <w:pPr>
        <w:pStyle w:val="FootnoteText1"/>
        <w:rPr>
          <w:sz w:val="18"/>
          <w:szCs w:val="18"/>
        </w:rPr>
      </w:pPr>
      <w:r w:rsidRPr="00331352">
        <w:rPr>
          <w:rStyle w:val="FootnoteReference"/>
          <w:sz w:val="18"/>
          <w:szCs w:val="18"/>
        </w:rPr>
        <w:footnoteRef/>
      </w:r>
      <w:r w:rsidRPr="00331352">
        <w:rPr>
          <w:sz w:val="18"/>
          <w:szCs w:val="18"/>
        </w:rPr>
        <w:t xml:space="preserve"> Roch A. </w:t>
      </w:r>
      <w:proofErr w:type="spellStart"/>
      <w:r w:rsidRPr="00331352">
        <w:rPr>
          <w:sz w:val="18"/>
          <w:szCs w:val="18"/>
        </w:rPr>
        <w:t>Nianogo</w:t>
      </w:r>
      <w:proofErr w:type="spellEnd"/>
      <w:r w:rsidRPr="00331352">
        <w:rPr>
          <w:sz w:val="18"/>
          <w:szCs w:val="18"/>
        </w:rPr>
        <w:t xml:space="preserve">, May C. Wang, Ricardo Basurto-Davila, </w:t>
      </w:r>
      <w:proofErr w:type="spellStart"/>
      <w:r w:rsidRPr="00331352">
        <w:rPr>
          <w:sz w:val="18"/>
          <w:szCs w:val="18"/>
        </w:rPr>
        <w:t>Tabashir</w:t>
      </w:r>
      <w:proofErr w:type="spellEnd"/>
      <w:r w:rsidRPr="00331352">
        <w:rPr>
          <w:sz w:val="18"/>
          <w:szCs w:val="18"/>
        </w:rPr>
        <w:t xml:space="preserve"> Z. </w:t>
      </w:r>
      <w:proofErr w:type="spellStart"/>
      <w:r w:rsidRPr="00331352">
        <w:rPr>
          <w:sz w:val="18"/>
          <w:szCs w:val="18"/>
        </w:rPr>
        <w:t>Nobari</w:t>
      </w:r>
      <w:proofErr w:type="spellEnd"/>
      <w:r w:rsidRPr="00331352">
        <w:rPr>
          <w:sz w:val="18"/>
          <w:szCs w:val="18"/>
        </w:rPr>
        <w:t xml:space="preserve">, Michael Prelip, Onyebuchi A. Arah, Shannon E. Whaley, </w:t>
      </w:r>
      <w:r w:rsidRPr="00821A92">
        <w:rPr>
          <w:sz w:val="18"/>
          <w:szCs w:val="18"/>
        </w:rPr>
        <w:t>Economic evaluation of California prenatal participation in the Special Supplemental Nutrition Program for Women, Infants and Children (WIC) to prevent preterm birth,</w:t>
      </w:r>
    </w:p>
    <w:p w14:paraId="727B9A0E" w14:textId="77777777" w:rsidR="001A27AE" w:rsidRDefault="001A27AE" w:rsidP="001A27AE">
      <w:pPr>
        <w:pStyle w:val="FootnoteText1"/>
      </w:pPr>
      <w:r w:rsidRPr="00821A92">
        <w:rPr>
          <w:sz w:val="18"/>
          <w:szCs w:val="18"/>
        </w:rPr>
        <w:t>Preventive Medicine, Volume 124, 2019, Pages 42-49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8D4"/>
    <w:multiLevelType w:val="hybridMultilevel"/>
    <w:tmpl w:val="2AEE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83FC4"/>
    <w:multiLevelType w:val="hybridMultilevel"/>
    <w:tmpl w:val="068455AE"/>
    <w:lvl w:ilvl="0" w:tplc="7E0638B6">
      <w:start w:val="1"/>
      <w:numFmt w:val="upperRoman"/>
      <w:lvlText w:val="%1."/>
      <w:lvlJc w:val="left"/>
      <w:pPr>
        <w:ind w:left="360" w:hanging="360"/>
      </w:pPr>
      <w:rPr>
        <w:b/>
        <w:bCs/>
      </w:rPr>
    </w:lvl>
    <w:lvl w:ilvl="1" w:tplc="A6E2A746">
      <w:start w:val="1"/>
      <w:numFmt w:val="lowerLetter"/>
      <w:lvlText w:val="%2."/>
      <w:lvlJc w:val="left"/>
      <w:pPr>
        <w:ind w:left="1080" w:hanging="360"/>
      </w:pPr>
    </w:lvl>
    <w:lvl w:ilvl="2" w:tplc="D7BE3C2A">
      <w:start w:val="1"/>
      <w:numFmt w:val="lowerRoman"/>
      <w:lvlText w:val="%3."/>
      <w:lvlJc w:val="right"/>
      <w:pPr>
        <w:ind w:left="1800" w:hanging="180"/>
      </w:pPr>
    </w:lvl>
    <w:lvl w:ilvl="3" w:tplc="723035B4">
      <w:start w:val="1"/>
      <w:numFmt w:val="decimal"/>
      <w:lvlText w:val="%4."/>
      <w:lvlJc w:val="left"/>
      <w:pPr>
        <w:ind w:left="2520" w:hanging="360"/>
      </w:pPr>
    </w:lvl>
    <w:lvl w:ilvl="4" w:tplc="BE8EF66E">
      <w:start w:val="1"/>
      <w:numFmt w:val="lowerLetter"/>
      <w:lvlText w:val="%5."/>
      <w:lvlJc w:val="left"/>
      <w:pPr>
        <w:ind w:left="3240" w:hanging="360"/>
      </w:pPr>
    </w:lvl>
    <w:lvl w:ilvl="5" w:tplc="8D98A724">
      <w:start w:val="1"/>
      <w:numFmt w:val="lowerRoman"/>
      <w:lvlText w:val="%6."/>
      <w:lvlJc w:val="right"/>
      <w:pPr>
        <w:ind w:left="3960" w:hanging="180"/>
      </w:pPr>
    </w:lvl>
    <w:lvl w:ilvl="6" w:tplc="A88EE986">
      <w:start w:val="1"/>
      <w:numFmt w:val="decimal"/>
      <w:lvlText w:val="%7."/>
      <w:lvlJc w:val="left"/>
      <w:pPr>
        <w:ind w:left="4680" w:hanging="360"/>
      </w:pPr>
    </w:lvl>
    <w:lvl w:ilvl="7" w:tplc="505C44EC">
      <w:start w:val="1"/>
      <w:numFmt w:val="lowerLetter"/>
      <w:lvlText w:val="%8."/>
      <w:lvlJc w:val="left"/>
      <w:pPr>
        <w:ind w:left="5400" w:hanging="360"/>
      </w:pPr>
    </w:lvl>
    <w:lvl w:ilvl="8" w:tplc="970AE930">
      <w:start w:val="1"/>
      <w:numFmt w:val="lowerRoman"/>
      <w:lvlText w:val="%9."/>
      <w:lvlJc w:val="right"/>
      <w:pPr>
        <w:ind w:left="6120" w:hanging="180"/>
      </w:pPr>
    </w:lvl>
  </w:abstractNum>
  <w:abstractNum w:abstractNumId="2" w15:restartNumberingAfterBreak="0">
    <w:nsid w:val="2C211F0B"/>
    <w:multiLevelType w:val="hybridMultilevel"/>
    <w:tmpl w:val="36D61A5A"/>
    <w:lvl w:ilvl="0" w:tplc="508EBADE">
      <w:start w:val="1"/>
      <w:numFmt w:val="bullet"/>
      <w:lvlText w:val=""/>
      <w:lvlJc w:val="left"/>
      <w:pPr>
        <w:ind w:left="720" w:hanging="360"/>
      </w:pPr>
      <w:rPr>
        <w:rFonts w:ascii="Symbol" w:hAnsi="Symbol" w:hint="default"/>
      </w:rPr>
    </w:lvl>
    <w:lvl w:ilvl="1" w:tplc="49DE4740">
      <w:start w:val="1"/>
      <w:numFmt w:val="bullet"/>
      <w:lvlText w:val="o"/>
      <w:lvlJc w:val="left"/>
      <w:pPr>
        <w:ind w:left="1440" w:hanging="360"/>
      </w:pPr>
      <w:rPr>
        <w:rFonts w:ascii="Courier New" w:hAnsi="Courier New" w:hint="default"/>
      </w:rPr>
    </w:lvl>
    <w:lvl w:ilvl="2" w:tplc="D52E06B0">
      <w:start w:val="1"/>
      <w:numFmt w:val="bullet"/>
      <w:lvlText w:val=""/>
      <w:lvlJc w:val="left"/>
      <w:pPr>
        <w:ind w:left="2160" w:hanging="360"/>
      </w:pPr>
      <w:rPr>
        <w:rFonts w:ascii="Wingdings" w:hAnsi="Wingdings" w:hint="default"/>
      </w:rPr>
    </w:lvl>
    <w:lvl w:ilvl="3" w:tplc="08422192">
      <w:start w:val="1"/>
      <w:numFmt w:val="bullet"/>
      <w:lvlText w:val=""/>
      <w:lvlJc w:val="left"/>
      <w:pPr>
        <w:ind w:left="2880" w:hanging="360"/>
      </w:pPr>
      <w:rPr>
        <w:rFonts w:ascii="Symbol" w:hAnsi="Symbol" w:hint="default"/>
      </w:rPr>
    </w:lvl>
    <w:lvl w:ilvl="4" w:tplc="2856F19C">
      <w:start w:val="1"/>
      <w:numFmt w:val="bullet"/>
      <w:lvlText w:val="o"/>
      <w:lvlJc w:val="left"/>
      <w:pPr>
        <w:ind w:left="3600" w:hanging="360"/>
      </w:pPr>
      <w:rPr>
        <w:rFonts w:ascii="Courier New" w:hAnsi="Courier New" w:hint="default"/>
      </w:rPr>
    </w:lvl>
    <w:lvl w:ilvl="5" w:tplc="9F3AFD62">
      <w:start w:val="1"/>
      <w:numFmt w:val="bullet"/>
      <w:lvlText w:val=""/>
      <w:lvlJc w:val="left"/>
      <w:pPr>
        <w:ind w:left="4320" w:hanging="360"/>
      </w:pPr>
      <w:rPr>
        <w:rFonts w:ascii="Wingdings" w:hAnsi="Wingdings" w:hint="default"/>
      </w:rPr>
    </w:lvl>
    <w:lvl w:ilvl="6" w:tplc="59CE9C60">
      <w:start w:val="1"/>
      <w:numFmt w:val="bullet"/>
      <w:lvlText w:val=""/>
      <w:lvlJc w:val="left"/>
      <w:pPr>
        <w:ind w:left="5040" w:hanging="360"/>
      </w:pPr>
      <w:rPr>
        <w:rFonts w:ascii="Symbol" w:hAnsi="Symbol" w:hint="default"/>
      </w:rPr>
    </w:lvl>
    <w:lvl w:ilvl="7" w:tplc="B88C7B0E">
      <w:start w:val="1"/>
      <w:numFmt w:val="bullet"/>
      <w:lvlText w:val="o"/>
      <w:lvlJc w:val="left"/>
      <w:pPr>
        <w:ind w:left="5760" w:hanging="360"/>
      </w:pPr>
      <w:rPr>
        <w:rFonts w:ascii="Courier New" w:hAnsi="Courier New" w:hint="default"/>
      </w:rPr>
    </w:lvl>
    <w:lvl w:ilvl="8" w:tplc="2646A9D6">
      <w:start w:val="1"/>
      <w:numFmt w:val="bullet"/>
      <w:lvlText w:val=""/>
      <w:lvlJc w:val="left"/>
      <w:pPr>
        <w:ind w:left="6480" w:hanging="360"/>
      </w:pPr>
      <w:rPr>
        <w:rFonts w:ascii="Wingdings" w:hAnsi="Wingdings" w:hint="default"/>
      </w:rPr>
    </w:lvl>
  </w:abstractNum>
  <w:abstractNum w:abstractNumId="3" w15:restartNumberingAfterBreak="0">
    <w:nsid w:val="396E64C3"/>
    <w:multiLevelType w:val="hybridMultilevel"/>
    <w:tmpl w:val="BFC2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045727">
    <w:abstractNumId w:val="2"/>
  </w:num>
  <w:num w:numId="2" w16cid:durableId="337271050">
    <w:abstractNumId w:val="1"/>
  </w:num>
  <w:num w:numId="3" w16cid:durableId="941231731">
    <w:abstractNumId w:val="3"/>
  </w:num>
  <w:num w:numId="4" w16cid:durableId="77451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AE"/>
    <w:rsid w:val="001130D6"/>
    <w:rsid w:val="001A27AE"/>
    <w:rsid w:val="00450FEC"/>
    <w:rsid w:val="007E3ECD"/>
    <w:rsid w:val="009952E7"/>
    <w:rsid w:val="00AC7DB4"/>
    <w:rsid w:val="00AE6938"/>
    <w:rsid w:val="00BC1635"/>
    <w:rsid w:val="00C926DE"/>
    <w:rsid w:val="00CA1DA7"/>
    <w:rsid w:val="00D74DF1"/>
    <w:rsid w:val="00F3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9D7"/>
  <w15:chartTrackingRefBased/>
  <w15:docId w15:val="{CB9691D6-2BF1-41E7-B68E-BDDE1FD6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7AE"/>
    <w:rPr>
      <w:rFonts w:eastAsiaTheme="majorEastAsia" w:cstheme="majorBidi"/>
      <w:color w:val="272727" w:themeColor="text1" w:themeTint="D8"/>
    </w:rPr>
  </w:style>
  <w:style w:type="paragraph" w:styleId="Title">
    <w:name w:val="Title"/>
    <w:basedOn w:val="Normal"/>
    <w:next w:val="Normal"/>
    <w:link w:val="TitleChar"/>
    <w:uiPriority w:val="10"/>
    <w:qFormat/>
    <w:rsid w:val="001A2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7AE"/>
    <w:pPr>
      <w:spacing w:before="160"/>
      <w:jc w:val="center"/>
    </w:pPr>
    <w:rPr>
      <w:i/>
      <w:iCs/>
      <w:color w:val="404040" w:themeColor="text1" w:themeTint="BF"/>
    </w:rPr>
  </w:style>
  <w:style w:type="character" w:customStyle="1" w:styleId="QuoteChar">
    <w:name w:val="Quote Char"/>
    <w:basedOn w:val="DefaultParagraphFont"/>
    <w:link w:val="Quote"/>
    <w:uiPriority w:val="29"/>
    <w:rsid w:val="001A27AE"/>
    <w:rPr>
      <w:i/>
      <w:iCs/>
      <w:color w:val="404040" w:themeColor="text1" w:themeTint="BF"/>
    </w:rPr>
  </w:style>
  <w:style w:type="paragraph" w:styleId="ListParagraph">
    <w:name w:val="List Paragraph"/>
    <w:basedOn w:val="Normal"/>
    <w:uiPriority w:val="34"/>
    <w:qFormat/>
    <w:rsid w:val="001A27AE"/>
    <w:pPr>
      <w:ind w:left="720"/>
      <w:contextualSpacing/>
    </w:pPr>
  </w:style>
  <w:style w:type="character" w:styleId="IntenseEmphasis">
    <w:name w:val="Intense Emphasis"/>
    <w:basedOn w:val="DefaultParagraphFont"/>
    <w:uiPriority w:val="21"/>
    <w:qFormat/>
    <w:rsid w:val="001A27AE"/>
    <w:rPr>
      <w:i/>
      <w:iCs/>
      <w:color w:val="0F4761" w:themeColor="accent1" w:themeShade="BF"/>
    </w:rPr>
  </w:style>
  <w:style w:type="paragraph" w:styleId="IntenseQuote">
    <w:name w:val="Intense Quote"/>
    <w:basedOn w:val="Normal"/>
    <w:next w:val="Normal"/>
    <w:link w:val="IntenseQuoteChar"/>
    <w:uiPriority w:val="30"/>
    <w:qFormat/>
    <w:rsid w:val="001A2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7AE"/>
    <w:rPr>
      <w:i/>
      <w:iCs/>
      <w:color w:val="0F4761" w:themeColor="accent1" w:themeShade="BF"/>
    </w:rPr>
  </w:style>
  <w:style w:type="character" w:styleId="IntenseReference">
    <w:name w:val="Intense Reference"/>
    <w:basedOn w:val="DefaultParagraphFont"/>
    <w:uiPriority w:val="32"/>
    <w:qFormat/>
    <w:rsid w:val="001A27AE"/>
    <w:rPr>
      <w:b/>
      <w:bCs/>
      <w:smallCaps/>
      <w:color w:val="0F4761" w:themeColor="accent1" w:themeShade="BF"/>
      <w:spacing w:val="5"/>
    </w:rPr>
  </w:style>
  <w:style w:type="paragraph" w:styleId="CommentText">
    <w:name w:val="annotation text"/>
    <w:basedOn w:val="Normal"/>
    <w:link w:val="CommentTextChar"/>
    <w:uiPriority w:val="99"/>
    <w:semiHidden/>
    <w:unhideWhenUsed/>
    <w:rsid w:val="001A27AE"/>
    <w:pPr>
      <w:spacing w:line="240" w:lineRule="auto"/>
    </w:pPr>
    <w:rPr>
      <w:sz w:val="20"/>
      <w:szCs w:val="20"/>
    </w:rPr>
  </w:style>
  <w:style w:type="character" w:customStyle="1" w:styleId="CommentTextChar">
    <w:name w:val="Comment Text Char"/>
    <w:basedOn w:val="DefaultParagraphFont"/>
    <w:link w:val="CommentText"/>
    <w:uiPriority w:val="99"/>
    <w:semiHidden/>
    <w:rsid w:val="001A27AE"/>
    <w:rPr>
      <w:sz w:val="20"/>
      <w:szCs w:val="20"/>
    </w:rPr>
  </w:style>
  <w:style w:type="character" w:styleId="Hyperlink">
    <w:name w:val="Hyperlink"/>
    <w:basedOn w:val="DefaultParagraphFont"/>
    <w:uiPriority w:val="99"/>
    <w:unhideWhenUsed/>
    <w:rsid w:val="001A27AE"/>
    <w:rPr>
      <w:color w:val="0000FF"/>
      <w:u w:val="single"/>
    </w:rPr>
  </w:style>
  <w:style w:type="character" w:styleId="FootnoteReference">
    <w:name w:val="footnote reference"/>
    <w:uiPriority w:val="99"/>
    <w:rsid w:val="001A27AE"/>
    <w:rPr>
      <w:vertAlign w:val="superscript"/>
    </w:rPr>
  </w:style>
  <w:style w:type="paragraph" w:customStyle="1" w:styleId="FootnoteText1">
    <w:name w:val="Footnote Text1"/>
    <w:basedOn w:val="Normal"/>
    <w:next w:val="FootnoteText"/>
    <w:link w:val="FootnoteTextChar"/>
    <w:uiPriority w:val="99"/>
    <w:unhideWhenUsed/>
    <w:rsid w:val="001A27AE"/>
    <w:pPr>
      <w:spacing w:after="0" w:line="240" w:lineRule="auto"/>
    </w:pPr>
    <w:rPr>
      <w:sz w:val="20"/>
      <w:szCs w:val="20"/>
    </w:rPr>
  </w:style>
  <w:style w:type="character" w:customStyle="1" w:styleId="FootnoteTextChar">
    <w:name w:val="Footnote Text Char"/>
    <w:basedOn w:val="DefaultParagraphFont"/>
    <w:link w:val="FootnoteText1"/>
    <w:uiPriority w:val="99"/>
    <w:rsid w:val="001A27AE"/>
    <w:rPr>
      <w:sz w:val="20"/>
      <w:szCs w:val="20"/>
    </w:rPr>
  </w:style>
  <w:style w:type="character" w:styleId="CommentReference">
    <w:name w:val="annotation reference"/>
    <w:basedOn w:val="DefaultParagraphFont"/>
    <w:uiPriority w:val="99"/>
    <w:semiHidden/>
    <w:unhideWhenUsed/>
    <w:rsid w:val="001A27AE"/>
    <w:rPr>
      <w:sz w:val="16"/>
      <w:szCs w:val="16"/>
    </w:rPr>
  </w:style>
  <w:style w:type="character" w:styleId="Mention">
    <w:name w:val="Mention"/>
    <w:basedOn w:val="DefaultParagraphFont"/>
    <w:uiPriority w:val="99"/>
    <w:unhideWhenUsed/>
    <w:rsid w:val="001A27AE"/>
    <w:rPr>
      <w:color w:val="2B579A"/>
      <w:shd w:val="clear" w:color="auto" w:fill="E1DFDD"/>
    </w:rPr>
  </w:style>
  <w:style w:type="paragraph" w:styleId="FootnoteText">
    <w:name w:val="footnote text"/>
    <w:basedOn w:val="Normal"/>
    <w:link w:val="FootnoteTextChar1"/>
    <w:uiPriority w:val="99"/>
    <w:semiHidden/>
    <w:unhideWhenUsed/>
    <w:rsid w:val="001A27A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1A27AE"/>
    <w:rPr>
      <w:sz w:val="20"/>
      <w:szCs w:val="20"/>
    </w:rPr>
  </w:style>
  <w:style w:type="character" w:styleId="UnresolvedMention">
    <w:name w:val="Unresolved Mention"/>
    <w:basedOn w:val="DefaultParagraphFont"/>
    <w:uiPriority w:val="99"/>
    <w:semiHidden/>
    <w:unhideWhenUsed/>
    <w:rsid w:val="009952E7"/>
    <w:rPr>
      <w:color w:val="605E5C"/>
      <w:shd w:val="clear" w:color="auto" w:fill="E1DFDD"/>
    </w:rPr>
  </w:style>
  <w:style w:type="paragraph" w:styleId="PlainText">
    <w:name w:val="Plain Text"/>
    <w:basedOn w:val="Normal"/>
    <w:link w:val="PlainTextChar"/>
    <w:uiPriority w:val="99"/>
    <w:semiHidden/>
    <w:unhideWhenUsed/>
    <w:rsid w:val="009952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952E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c.org/research/resource-library/snap-state-fact-sheets" TargetMode="External"/><Relationship Id="rId3" Type="http://schemas.openxmlformats.org/officeDocument/2006/relationships/settings" Target="settings.xml"/><Relationship Id="rId7" Type="http://schemas.openxmlformats.org/officeDocument/2006/relationships/hyperlink" Target="https://frac.org/research/resource-library/snap-state-fact-she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rban.org/research/publication/trends-noncitizens-and-citizens-use-public-benefits-following-welfare-reform" TargetMode="External"/><Relationship Id="rId13" Type="http://schemas.openxmlformats.org/officeDocument/2006/relationships/hyperlink" Target="https://www.cbo.gov/system/files/2025-08/61367-SNAP.pdf" TargetMode="External"/><Relationship Id="rId3" Type="http://schemas.openxmlformats.org/officeDocument/2006/relationships/hyperlink" Target="https://www.federalregister.gov/documents/2018/10/10/2018-21106/inadmissibility-on-public-charge-grounds" TargetMode="External"/><Relationship Id="rId7" Type="http://schemas.openxmlformats.org/officeDocument/2006/relationships/hyperlink" Target="https://inequality.stanford.edu/sites/default/files/Pathways_Spring_2015_Pedraza_Zhu.pdf" TargetMode="External"/><Relationship Id="rId12" Type="http://schemas.openxmlformats.org/officeDocument/2006/relationships/hyperlink" Target="http://www.federalregister.gov/documents/2025/11/19/2025-20278/public-charge-ground-of-inadmissibility" TargetMode="External"/><Relationship Id="rId2" Type="http://schemas.openxmlformats.org/officeDocument/2006/relationships/hyperlink" Target="https://www.federalregister.gov/documents/2018/10/10/2018-21106/inadmissibility-on-public-charge-grounds" TargetMode="External"/><Relationship Id="rId1" Type="http://schemas.openxmlformats.org/officeDocument/2006/relationships/hyperlink" Target="https://www.federalregister.gov/documents/2025/11/19/2025-20278/public-charge-ground-of-inadmissibility" TargetMode="External"/><Relationship Id="rId6" Type="http://schemas.openxmlformats.org/officeDocument/2006/relationships/hyperlink" Target="https://migration.ucdavis.edu/cf/more.php?id=120" TargetMode="External"/><Relationship Id="rId11" Type="http://schemas.openxmlformats.org/officeDocument/2006/relationships/hyperlink" Target="https://www.urban.org/research/publication/amid-confusion-over-public-charge-rule-immigrant-families-continued-avoiding-public-benefits-2019" TargetMode="External"/><Relationship Id="rId5" Type="http://schemas.openxmlformats.org/officeDocument/2006/relationships/hyperlink" Target="https://www.cga.ct.gov/2007/rpt/2007-R-0705.htm" TargetMode="External"/><Relationship Id="rId10" Type="http://schemas.openxmlformats.org/officeDocument/2006/relationships/hyperlink" Target="https://fns-prod.azureedge.us/sites/default/files/Trends99-2002.pdf." TargetMode="External"/><Relationship Id="rId4" Type="http://schemas.openxmlformats.org/officeDocument/2006/relationships/hyperlink" Target="https://www.federalregister.gov/documents/2025/11/19/2025-20278/public-charge-ground-of-inadmissibility" TargetMode="External"/><Relationship Id="rId9" Type="http://schemas.openxmlformats.org/officeDocument/2006/relationships/hyperlink" Target="https://fns-prod.azureedge.us/research/snap/leaving-program-analysis-caseload-changes-1994-1997" TargetMode="External"/><Relationship Id="rId14" Type="http://schemas.openxmlformats.org/officeDocument/2006/relationships/hyperlink" Target="https://www.nationalgrocers.org/news/the-one-big-beautiful-bill-act-how-major-snap-reforms-will-reshape-the-independent-grocery-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20675</Characters>
  <Application>Microsoft Office Word</Application>
  <DocSecurity>0</DocSecurity>
  <Lines>350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Hayward</dc:creator>
  <cp:keywords/>
  <dc:description/>
  <cp:lastModifiedBy>Stephen Hayward</cp:lastModifiedBy>
  <cp:revision>2</cp:revision>
  <dcterms:created xsi:type="dcterms:W3CDTF">2025-12-09T22:36:00Z</dcterms:created>
  <dcterms:modified xsi:type="dcterms:W3CDTF">2025-12-09T22:36:00Z</dcterms:modified>
</cp:coreProperties>
</file>